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EBDA" w14:textId="7409B8DC" w:rsidR="00D7021F" w:rsidRDefault="004A3E24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ТЕХНИЧЕСКОЕ ЗАДАНИЕ </w:t>
      </w:r>
    </w:p>
    <w:p w14:paraId="449EAD43" w14:textId="77777777" w:rsidR="00D7021F" w:rsidRDefault="004A3E24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проведение обязательного ежегодного аудита</w:t>
      </w:r>
    </w:p>
    <w:p w14:paraId="1669BD7B" w14:textId="27368123" w:rsidR="00D7021F" w:rsidRDefault="004A3E24">
      <w:pPr>
        <w:pStyle w:val="aa"/>
        <w:ind w:firstLine="709"/>
        <w:rPr>
          <w:bCs/>
          <w:color w:val="000000"/>
          <w:sz w:val="20"/>
        </w:rPr>
      </w:pPr>
      <w:r>
        <w:rPr>
          <w:color w:val="000000"/>
          <w:sz w:val="20"/>
        </w:rPr>
        <w:t xml:space="preserve">Некоммерческой организации «Фонд развития экономики и прямых инвестиций Чукотского автономного округа» </w:t>
      </w:r>
      <w:r>
        <w:rPr>
          <w:bCs/>
          <w:color w:val="000000"/>
          <w:sz w:val="20"/>
        </w:rPr>
        <w:t>за 202</w:t>
      </w:r>
      <w:r w:rsidR="009C12BC">
        <w:rPr>
          <w:bCs/>
          <w:color w:val="000000"/>
          <w:sz w:val="20"/>
        </w:rPr>
        <w:t>5</w:t>
      </w:r>
      <w:r>
        <w:rPr>
          <w:bCs/>
          <w:color w:val="000000"/>
          <w:sz w:val="20"/>
        </w:rPr>
        <w:t xml:space="preserve"> год</w:t>
      </w:r>
    </w:p>
    <w:p w14:paraId="7196DEDD" w14:textId="77777777" w:rsidR="00D7021F" w:rsidRDefault="00D7021F">
      <w:pPr>
        <w:pStyle w:val="aa"/>
        <w:ind w:firstLine="709"/>
        <w:rPr>
          <w:bCs/>
          <w:sz w:val="20"/>
        </w:rPr>
      </w:pPr>
    </w:p>
    <w:p w14:paraId="43F0B38E" w14:textId="77777777" w:rsidR="00D7021F" w:rsidRDefault="004A3E24">
      <w:pPr>
        <w:pStyle w:val="1"/>
        <w:keepNext w:val="0"/>
        <w:ind w:left="0" w:firstLine="709"/>
        <w:jc w:val="center"/>
        <w:rPr>
          <w:rFonts w:ascii="Times New Roman" w:hAnsi="Times New Roman"/>
          <w:bCs/>
          <w:kern w:val="1"/>
          <w:sz w:val="20"/>
        </w:rPr>
      </w:pPr>
      <w:r>
        <w:rPr>
          <w:rFonts w:ascii="Times New Roman" w:hAnsi="Times New Roman"/>
          <w:bCs/>
          <w:kern w:val="1"/>
          <w:sz w:val="20"/>
        </w:rPr>
        <w:t>1. Общие положения</w:t>
      </w:r>
    </w:p>
    <w:p w14:paraId="04251E63" w14:textId="77777777" w:rsidR="00D7021F" w:rsidRDefault="00D7021F">
      <w:pPr>
        <w:rPr>
          <w:sz w:val="20"/>
          <w:szCs w:val="20"/>
        </w:rPr>
      </w:pPr>
    </w:p>
    <w:p w14:paraId="2F41702B" w14:textId="77777777" w:rsidR="0074419B" w:rsidRPr="0074419B" w:rsidRDefault="0074419B" w:rsidP="0074419B">
      <w:pPr>
        <w:pStyle w:val="ae"/>
        <w:numPr>
          <w:ilvl w:val="1"/>
          <w:numId w:val="20"/>
        </w:numPr>
        <w:spacing w:before="0"/>
        <w:ind w:left="0" w:firstLine="709"/>
        <w:jc w:val="both"/>
        <w:rPr>
          <w:rFonts w:ascii="Times New Roman" w:hAnsi="Times New Roman" w:cs="Times New Roman"/>
          <w:bCs/>
          <w:kern w:val="1"/>
          <w:sz w:val="20"/>
          <w:szCs w:val="20"/>
        </w:rPr>
      </w:pPr>
      <w:r w:rsidRPr="0074419B">
        <w:rPr>
          <w:rFonts w:ascii="Times New Roman" w:eastAsia="Times New Roman" w:hAnsi="Times New Roman" w:cs="Times New Roman"/>
          <w:sz w:val="20"/>
          <w:szCs w:val="20"/>
        </w:rPr>
        <w:t xml:space="preserve">Техническое задание на проведение обязательного ежегодного аудита бухгалтерской отчетности Некоммерческой организации «Фонд развития экономики и прямых инвестиций Чукотского автономного округа»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разработано в соответствии Федеральным законом от 30 декабря 2008 г. № 307-ФЗ «Об аудиторской деятельности» 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другими нормативными актами Российской Федерации.</w:t>
      </w:r>
    </w:p>
    <w:p w14:paraId="29AC8925" w14:textId="77777777" w:rsidR="0074419B" w:rsidRDefault="0074419B" w:rsidP="0074419B">
      <w:pPr>
        <w:pStyle w:val="ae"/>
        <w:spacing w:before="0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419B">
        <w:rPr>
          <w:rFonts w:ascii="Times New Roman" w:eastAsia="Times New Roman" w:hAnsi="Times New Roman" w:cs="Times New Roman"/>
          <w:sz w:val="20"/>
          <w:szCs w:val="20"/>
        </w:rPr>
        <w:t xml:space="preserve">Период аудита: </w:t>
      </w:r>
    </w:p>
    <w:p w14:paraId="7A4FF59F" w14:textId="77777777" w:rsidR="0074419B" w:rsidRDefault="0074419B" w:rsidP="0074419B">
      <w:pPr>
        <w:pStyle w:val="ae"/>
        <w:spacing w:before="0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419B">
        <w:rPr>
          <w:rFonts w:ascii="Times New Roman" w:eastAsia="Times New Roman" w:hAnsi="Times New Roman" w:cs="Times New Roman"/>
          <w:sz w:val="20"/>
          <w:szCs w:val="20"/>
        </w:rPr>
        <w:t xml:space="preserve">- Начало периода: 01 января 2025 года </w:t>
      </w:r>
    </w:p>
    <w:p w14:paraId="692A6AD4" w14:textId="77777777" w:rsidR="0074419B" w:rsidRDefault="0074419B" w:rsidP="0074419B">
      <w:pPr>
        <w:pStyle w:val="ae"/>
        <w:spacing w:before="0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419B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4419B">
        <w:rPr>
          <w:rFonts w:ascii="Times New Roman" w:eastAsia="Times New Roman" w:hAnsi="Times New Roman" w:cs="Times New Roman"/>
          <w:sz w:val="20"/>
          <w:szCs w:val="20"/>
        </w:rPr>
        <w:t xml:space="preserve">Окончание периода: 31 декабря 2025 года </w:t>
      </w:r>
    </w:p>
    <w:p w14:paraId="1AC906D8" w14:textId="77777777" w:rsidR="0074419B" w:rsidRDefault="0074419B" w:rsidP="0074419B">
      <w:pPr>
        <w:pStyle w:val="ae"/>
        <w:spacing w:before="0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419B">
        <w:rPr>
          <w:rFonts w:ascii="Times New Roman" w:eastAsia="Times New Roman" w:hAnsi="Times New Roman" w:cs="Times New Roman"/>
          <w:sz w:val="20"/>
          <w:szCs w:val="20"/>
        </w:rPr>
        <w:t xml:space="preserve">Этапы проведения аудита: </w:t>
      </w:r>
    </w:p>
    <w:p w14:paraId="61093D0C" w14:textId="30A683D2" w:rsidR="0074419B" w:rsidRDefault="0074419B" w:rsidP="0074419B">
      <w:pPr>
        <w:pStyle w:val="ae"/>
        <w:spacing w:before="0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4419B">
        <w:rPr>
          <w:rFonts w:ascii="Times New Roman" w:eastAsia="Times New Roman" w:hAnsi="Times New Roman" w:cs="Times New Roman"/>
          <w:sz w:val="20"/>
          <w:szCs w:val="20"/>
        </w:rPr>
        <w:t>Первый этап: проверка бухгалтерской отчетности за первые девять месяцев 2025 года</w:t>
      </w:r>
      <w:r w:rsidR="002E0DF4">
        <w:rPr>
          <w:rFonts w:ascii="Times New Roman" w:eastAsia="Times New Roman" w:hAnsi="Times New Roman" w:cs="Times New Roman"/>
          <w:sz w:val="20"/>
          <w:szCs w:val="20"/>
        </w:rPr>
        <w:t xml:space="preserve"> – в очном формате</w:t>
      </w:r>
      <w:r w:rsidRPr="0074419B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1F0B809A" w14:textId="0060BDBA" w:rsidR="00D7021F" w:rsidRDefault="0074419B" w:rsidP="0074419B">
      <w:pPr>
        <w:pStyle w:val="ae"/>
        <w:spacing w:before="0"/>
        <w:ind w:left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419B">
        <w:rPr>
          <w:rFonts w:ascii="Times New Roman" w:eastAsia="Times New Roman" w:hAnsi="Times New Roman" w:cs="Times New Roman"/>
          <w:sz w:val="20"/>
          <w:szCs w:val="20"/>
        </w:rPr>
        <w:t>Второй этап: аудит бухгалтерского учета за четвертый квартал 2025 года</w:t>
      </w:r>
      <w:r w:rsidR="002E0DF4">
        <w:rPr>
          <w:rFonts w:ascii="Times New Roman" w:eastAsia="Times New Roman" w:hAnsi="Times New Roman" w:cs="Times New Roman"/>
          <w:sz w:val="20"/>
          <w:szCs w:val="20"/>
        </w:rPr>
        <w:t xml:space="preserve"> – в дистанционном формате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4A3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1751561C" w14:textId="77777777" w:rsidR="00D7021F" w:rsidRDefault="004A3E24">
      <w:pPr>
        <w:pStyle w:val="ae"/>
        <w:spacing w:before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1.2.</w:t>
      </w:r>
      <w:r>
        <w:rPr>
          <w:rFonts w:ascii="Times New Roman" w:hAnsi="Times New Roman" w:cs="Times New Roman"/>
          <w:bCs/>
          <w:kern w:val="1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Настоящее Техническое задание определяет состав задач и подзадач, поставленных перед аудитором и</w:t>
      </w:r>
      <w:r>
        <w:rPr>
          <w:rFonts w:ascii="Times New Roman" w:hAnsi="Times New Roman" w:cs="Times New Roman"/>
          <w:sz w:val="20"/>
          <w:szCs w:val="20"/>
        </w:rPr>
        <w:t xml:space="preserve"> необходимых для выполнения аудитором в процессе осуществления обязательного ежегодного аудита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0F56AEC" w14:textId="036C2E4C" w:rsidR="002E0DF4" w:rsidRPr="002E0DF4" w:rsidRDefault="004A3E24" w:rsidP="002E0DF4">
      <w:pPr>
        <w:suppressAutoHyphens w:val="0"/>
        <w:spacing w:after="200" w:line="276" w:lineRule="auto"/>
        <w:ind w:firstLine="709"/>
        <w:jc w:val="both"/>
        <w:rPr>
          <w:rFonts w:cs="Times New Roman"/>
          <w:sz w:val="20"/>
          <w:szCs w:val="20"/>
        </w:rPr>
      </w:pPr>
      <w:r w:rsidRPr="002E0DF4">
        <w:rPr>
          <w:rFonts w:cs="Times New Roman"/>
          <w:sz w:val="20"/>
          <w:szCs w:val="20"/>
        </w:rPr>
        <w:t>1.3. Целью аудита является выражение аудитором своего мнения о достоверности финансовой (бухгалтерской) отчетности Некоммерческой организации «Фонд развития экономики и прямых инвестиций Чукотского автономного округа», соответствии порядка ведения бухгалтерского учета законодательству Российской Федерации, выражение мнения о финансово-экономическом состоянии</w:t>
      </w:r>
      <w:r w:rsidR="0074419B" w:rsidRPr="002E0DF4">
        <w:rPr>
          <w:rFonts w:cs="Times New Roman"/>
          <w:sz w:val="20"/>
          <w:szCs w:val="20"/>
        </w:rPr>
        <w:t>, а также об отсутствии искажений при формировании показателей Отчета фонда содействия кредитованию (гарантийного фонда, фонда поручительств) в целях ранжирования с присвоением ранга в 2025 году</w:t>
      </w:r>
      <w:r w:rsidR="002E0DF4" w:rsidRPr="002E0DF4">
        <w:rPr>
          <w:rFonts w:cs="Times New Roman"/>
          <w:sz w:val="20"/>
          <w:szCs w:val="20"/>
        </w:rPr>
        <w:t>, утвержденн</w:t>
      </w:r>
      <w:r w:rsidR="002E0DF4">
        <w:rPr>
          <w:rFonts w:cs="Times New Roman"/>
          <w:sz w:val="20"/>
          <w:szCs w:val="20"/>
        </w:rPr>
        <w:t>ого</w:t>
      </w:r>
      <w:r w:rsidR="002E0DF4" w:rsidRPr="002E0DF4">
        <w:rPr>
          <w:rFonts w:cs="Times New Roman"/>
          <w:sz w:val="20"/>
          <w:szCs w:val="20"/>
        </w:rPr>
        <w:t xml:space="preserve"> Приказом Минэкономразвития от 28 ноября 2016 г. № 763.</w:t>
      </w:r>
    </w:p>
    <w:p w14:paraId="79DD6F3D" w14:textId="77777777" w:rsidR="00D7021F" w:rsidRDefault="004A3E24">
      <w:pPr>
        <w:pStyle w:val="1"/>
        <w:keepNext w:val="0"/>
        <w:spacing w:before="240" w:after="240"/>
        <w:ind w:left="0" w:firstLine="709"/>
        <w:jc w:val="center"/>
        <w:rPr>
          <w:rFonts w:ascii="Times New Roman" w:hAnsi="Times New Roman"/>
          <w:bCs/>
          <w:kern w:val="1"/>
          <w:sz w:val="20"/>
        </w:rPr>
      </w:pPr>
      <w:r>
        <w:rPr>
          <w:rFonts w:ascii="Times New Roman" w:hAnsi="Times New Roman"/>
          <w:bCs/>
          <w:kern w:val="1"/>
          <w:sz w:val="20"/>
        </w:rPr>
        <w:t> 2. Задачи и подзадачи аудита</w:t>
      </w:r>
    </w:p>
    <w:p w14:paraId="3F016874" w14:textId="65E883E9" w:rsidR="00D7021F" w:rsidRDefault="004A3E24">
      <w:pPr>
        <w:pStyle w:val="ae"/>
        <w:spacing w:before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 осуществлении аудита </w:t>
      </w:r>
      <w:r>
        <w:rPr>
          <w:rFonts w:ascii="Times New Roman" w:hAnsi="Times New Roman" w:cs="Times New Roman"/>
          <w:sz w:val="20"/>
          <w:szCs w:val="20"/>
        </w:rPr>
        <w:t>Некоммерческой организации «Фонд развития экономики и прямых инвестиций Чукотского автономного округа» (далее – Фонд)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аудитор проводит аудит финансовой (бухгалтерской) отчетности</w:t>
      </w:r>
      <w:r w:rsidR="009C12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два этапа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 </w:t>
      </w:r>
      <w:r w:rsidR="009C12B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 месяцев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отчетн</w:t>
      </w:r>
      <w:r w:rsidR="009C12BC"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финансов</w:t>
      </w:r>
      <w:r w:rsidR="009C12BC">
        <w:rPr>
          <w:rFonts w:ascii="Times New Roman" w:eastAsia="Times New Roman" w:hAnsi="Times New Roman" w:cs="Times New Roman"/>
          <w:color w:val="000000"/>
          <w:sz w:val="20"/>
          <w:szCs w:val="20"/>
        </w:rPr>
        <w:t>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</w:t>
      </w:r>
      <w:r w:rsidR="009C12BC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год</w:t>
      </w:r>
      <w:r w:rsidR="009C12BC">
        <w:rPr>
          <w:rFonts w:ascii="Times New Roman" w:eastAsia="Times New Roman" w:hAnsi="Times New Roman" w:cs="Times New Roman"/>
          <w:color w:val="000000"/>
          <w:sz w:val="20"/>
          <w:szCs w:val="20"/>
        </w:rPr>
        <w:t>а и за 4 квартал отчетного финансового 2025 года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составленной в соответствии с российскими стандартами бухгалтерского учета, состоящий из задач и подзадач, представленных в таблице, но не ограничивающийся ими:</w:t>
      </w:r>
    </w:p>
    <w:p w14:paraId="3410F632" w14:textId="77777777" w:rsidR="00D7021F" w:rsidRDefault="00D7021F">
      <w:pPr>
        <w:pStyle w:val="ae"/>
        <w:spacing w:before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C19DA8" w14:textId="77777777" w:rsidR="00D7021F" w:rsidRDefault="00D7021F">
      <w:pPr>
        <w:pStyle w:val="ae"/>
        <w:spacing w:before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30" w:type="dxa"/>
        <w:tblInd w:w="186" w:type="dxa"/>
        <w:tblLayout w:type="fixed"/>
        <w:tblLook w:val="04A0" w:firstRow="1" w:lastRow="0" w:firstColumn="1" w:lastColumn="0" w:noHBand="0" w:noVBand="1"/>
      </w:tblPr>
      <w:tblGrid>
        <w:gridCol w:w="1133"/>
        <w:gridCol w:w="2137"/>
        <w:gridCol w:w="1725"/>
        <w:gridCol w:w="5235"/>
      </w:tblGrid>
      <w:tr w:rsidR="00D7021F" w14:paraId="1CCBAC39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9E010" w14:textId="77777777" w:rsidR="00D7021F" w:rsidRDefault="004A3E2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14:paraId="52A5C231" w14:textId="77777777" w:rsidR="00D7021F" w:rsidRDefault="004A3E24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7BFB9" w14:textId="77777777" w:rsidR="00D7021F" w:rsidRDefault="004A3E2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Раздел технического задания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2E196" w14:textId="77777777" w:rsidR="00D7021F" w:rsidRDefault="004A3E2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Подраздел тех. Задания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3F57" w14:textId="77777777" w:rsidR="00D7021F" w:rsidRDefault="004A3E2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Наименование аудиторской процедуры</w:t>
            </w:r>
          </w:p>
        </w:tc>
      </w:tr>
      <w:tr w:rsidR="00D7021F" w14:paraId="036AEB5E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AC259" w14:textId="77777777" w:rsidR="00D7021F" w:rsidRDefault="004A3E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EC0A6" w14:textId="77777777" w:rsidR="00D7021F" w:rsidRDefault="004A3E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184DB" w14:textId="77777777" w:rsidR="00D7021F" w:rsidRDefault="004A3E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BC9F" w14:textId="77777777" w:rsidR="00D7021F" w:rsidRDefault="004A3E2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7021F" w14:paraId="5F84F845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43331" w14:textId="77777777" w:rsidR="00D7021F" w:rsidRDefault="004A3E2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CA18F" w14:textId="77777777" w:rsidR="00D7021F" w:rsidRDefault="004A3E24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Аудит наличия и соответствия законодательству документов, подтверждающих право осуществления деятельности в качестве Фонда, </w:t>
            </w:r>
          </w:p>
          <w:p w14:paraId="798EE514" w14:textId="77777777" w:rsidR="00D7021F" w:rsidRDefault="004A3E2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Аудит учредительных документов</w:t>
            </w:r>
          </w:p>
          <w:p w14:paraId="79F73350" w14:textId="77777777" w:rsidR="00D7021F" w:rsidRDefault="00D7021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8786E" w14:textId="77777777" w:rsidR="00D7021F" w:rsidRDefault="00D7021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CAE1" w14:textId="65547FD8" w:rsidR="00D7021F" w:rsidRDefault="004A3E24">
            <w:pPr>
              <w:numPr>
                <w:ilvl w:val="0"/>
                <w:numId w:val="2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наличия документов</w:t>
            </w:r>
            <w:r w:rsidR="002E0DF4">
              <w:rPr>
                <w:sz w:val="20"/>
                <w:szCs w:val="20"/>
              </w:rPr>
              <w:t>;</w:t>
            </w:r>
          </w:p>
          <w:p w14:paraId="54641F69" w14:textId="75B972E8" w:rsidR="00D7021F" w:rsidRDefault="004A3E24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содержанием документов</w:t>
            </w:r>
            <w:r w:rsidR="002E0DF4">
              <w:rPr>
                <w:sz w:val="20"/>
                <w:szCs w:val="20"/>
              </w:rPr>
              <w:t>;</w:t>
            </w:r>
          </w:p>
          <w:p w14:paraId="2015DAC9" w14:textId="5B92EA07" w:rsidR="00D7021F" w:rsidRDefault="004A3E24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полноты указанных сведений и наличие всех необходимых разделов в приложениях;</w:t>
            </w:r>
          </w:p>
          <w:p w14:paraId="01770A1E" w14:textId="30D624F3" w:rsidR="00D7021F" w:rsidRDefault="004A3E24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содержания разделов требованиям действующего законодательства</w:t>
            </w:r>
            <w:r w:rsidR="002E0DF4">
              <w:rPr>
                <w:sz w:val="20"/>
                <w:szCs w:val="20"/>
              </w:rPr>
              <w:t>;</w:t>
            </w:r>
          </w:p>
          <w:p w14:paraId="4ECBE41C" w14:textId="77777777" w:rsidR="00D7021F" w:rsidRDefault="004A3E24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 соответствие Устава Фонда действующему законодательству;</w:t>
            </w:r>
          </w:p>
          <w:p w14:paraId="7EFADD63" w14:textId="77777777" w:rsidR="00D7021F" w:rsidRDefault="004A3E24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наличия контракта с руководителем Фонда;</w:t>
            </w:r>
          </w:p>
          <w:p w14:paraId="790C14C0" w14:textId="22544ADB" w:rsidR="00D7021F" w:rsidRDefault="004A3E24">
            <w:pPr>
              <w:numPr>
                <w:ilvl w:val="0"/>
                <w:numId w:val="2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иных документов, подтверждающих право осуществления деятельности в качестве Фонда</w:t>
            </w:r>
            <w:r w:rsidR="002E0DF4">
              <w:rPr>
                <w:sz w:val="20"/>
                <w:szCs w:val="20"/>
              </w:rPr>
              <w:t>.</w:t>
            </w:r>
          </w:p>
        </w:tc>
      </w:tr>
      <w:tr w:rsidR="00D7021F" w14:paraId="18617B42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545E9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7C321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доходной и расходной части сметы Фонда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58768" w14:textId="77777777" w:rsidR="00D7021F" w:rsidRDefault="00D7021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6006" w14:textId="77777777" w:rsidR="00D7021F" w:rsidRDefault="004A3E24">
            <w:pPr>
              <w:numPr>
                <w:ilvl w:val="0"/>
                <w:numId w:val="3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содержанием документов;</w:t>
            </w:r>
          </w:p>
          <w:p w14:paraId="7F088557" w14:textId="77777777" w:rsidR="00D7021F" w:rsidRDefault="004A3E24">
            <w:pPr>
              <w:numPr>
                <w:ilvl w:val="0"/>
                <w:numId w:val="3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Сверка данных сметы с данными отчета и данными бухгалтерского учета;</w:t>
            </w:r>
          </w:p>
          <w:p w14:paraId="04F05F88" w14:textId="77777777" w:rsidR="00D7021F" w:rsidRDefault="004A3E24">
            <w:pPr>
              <w:numPr>
                <w:ilvl w:val="0"/>
                <w:numId w:val="3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горизонтального анализа отчета об исполнении бюджета;</w:t>
            </w:r>
          </w:p>
          <w:p w14:paraId="148DA0E0" w14:textId="77777777" w:rsidR="00D7021F" w:rsidRDefault="004A3E24">
            <w:pPr>
              <w:numPr>
                <w:ilvl w:val="0"/>
                <w:numId w:val="3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полученных результатов и тенденций.</w:t>
            </w:r>
          </w:p>
        </w:tc>
      </w:tr>
      <w:tr w:rsidR="00D7021F" w14:paraId="3FB68F5D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24A32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55B59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Соответствие законодательству деятельности Фонда по осуществлению </w:t>
            </w:r>
            <w:r>
              <w:rPr>
                <w:sz w:val="20"/>
                <w:szCs w:val="20"/>
              </w:rPr>
              <w:lastRenderedPageBreak/>
              <w:t>услуг и ведению раздельного учета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E307D" w14:textId="77777777" w:rsidR="00D7021F" w:rsidRDefault="00D7021F">
            <w:pPr>
              <w:snapToGri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6E600" w14:textId="77777777" w:rsidR="00D7021F" w:rsidRDefault="004A3E24">
            <w:pPr>
              <w:numPr>
                <w:ilvl w:val="0"/>
                <w:numId w:val="4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содержанием документов;</w:t>
            </w:r>
          </w:p>
          <w:p w14:paraId="6B328FD9" w14:textId="77777777" w:rsidR="00D7021F" w:rsidRDefault="004A3E24">
            <w:pPr>
              <w:numPr>
                <w:ilvl w:val="0"/>
                <w:numId w:val="4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положений, порядков заключенных договоров предмету и характеру деятельности Фонда и действующему законодательству;</w:t>
            </w:r>
          </w:p>
          <w:p w14:paraId="0DC56FCC" w14:textId="77777777" w:rsidR="00D7021F" w:rsidRDefault="004A3E24">
            <w:pPr>
              <w:numPr>
                <w:ilvl w:val="0"/>
                <w:numId w:val="4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Проверка порядка и источники финансирования целевой деятельности (в т.ч. деятельность Фонда в качестве: Региональной гарантийной организации, центра поддержки предпринимательства, регионального института развития экономики в формате «одного окна», Центра поддержки экспорта, Центра компетенций в сфере сельскохозяйственной кооперации и поддержки фермеров); </w:t>
            </w:r>
          </w:p>
          <w:p w14:paraId="6A5E913D" w14:textId="27A0F04C" w:rsidR="00D7021F" w:rsidRDefault="004A3E24">
            <w:pPr>
              <w:numPr>
                <w:ilvl w:val="0"/>
                <w:numId w:val="4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отчетов о целевом использовании выделенных средств</w:t>
            </w:r>
            <w:r w:rsidR="002E0DF4">
              <w:rPr>
                <w:sz w:val="20"/>
                <w:szCs w:val="20"/>
              </w:rPr>
              <w:t>;</w:t>
            </w:r>
          </w:p>
          <w:p w14:paraId="48F6D0D6" w14:textId="21906AF6" w:rsidR="00D7021F" w:rsidRDefault="004A3E24">
            <w:pPr>
              <w:numPr>
                <w:ilvl w:val="0"/>
                <w:numId w:val="4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ведения раздельного учета целевых средств, полученных из бюджетов и сформированных за счет собственных средств Фонда.</w:t>
            </w:r>
          </w:p>
        </w:tc>
      </w:tr>
      <w:tr w:rsidR="00D7021F" w14:paraId="59C8C93F" w14:textId="77777777">
        <w:trPr>
          <w:trHeight w:val="713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6B2A8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0C8FF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 правильности применения Плана счетов бухгалтерского учета финансово-хозяйственной деятельности.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BC30A" w14:textId="77777777" w:rsidR="00D7021F" w:rsidRDefault="00D7021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3FC3" w14:textId="77777777" w:rsidR="00D7021F" w:rsidRDefault="004A3E24">
            <w:pPr>
              <w:numPr>
                <w:ilvl w:val="0"/>
                <w:numId w:val="5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применяемых корреспонденций счетов и субсчетов бухгалтерского учета хозяйственных операций.</w:t>
            </w:r>
          </w:p>
        </w:tc>
      </w:tr>
      <w:tr w:rsidR="00D7021F" w14:paraId="06391372" w14:textId="77777777">
        <w:trPr>
          <w:trHeight w:val="1130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DD5294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59F53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E2FC3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применения Плана счетов в текущем аудируемом периоде</w:t>
            </w:r>
          </w:p>
        </w:tc>
        <w:tc>
          <w:tcPr>
            <w:tcW w:w="5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B0203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</w:tr>
      <w:tr w:rsidR="00D7021F" w14:paraId="29356F49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BB489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9C77C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Правильность включения затрат в состав расходов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6A01D" w14:textId="77777777" w:rsidR="00D7021F" w:rsidRDefault="00D7021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37A1" w14:textId="29361A7B" w:rsidR="00D7021F" w:rsidRDefault="004A3E24">
            <w:pPr>
              <w:numPr>
                <w:ilvl w:val="0"/>
                <w:numId w:val="6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оформления первичных бухгалтерских документов и обоснованности включения затрат в состав расходов</w:t>
            </w:r>
            <w:r w:rsidR="002E0DF4">
              <w:rPr>
                <w:sz w:val="20"/>
                <w:szCs w:val="20"/>
              </w:rPr>
              <w:t>.</w:t>
            </w:r>
          </w:p>
          <w:p w14:paraId="5FB7CCB7" w14:textId="77777777" w:rsidR="00D7021F" w:rsidRDefault="00D7021F">
            <w:pPr>
              <w:snapToGrid w:val="0"/>
              <w:ind w:hanging="360"/>
              <w:jc w:val="both"/>
              <w:rPr>
                <w:sz w:val="20"/>
                <w:szCs w:val="20"/>
              </w:rPr>
            </w:pPr>
          </w:p>
        </w:tc>
      </w:tr>
      <w:tr w:rsidR="00D7021F" w14:paraId="164D2205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02A28" w14:textId="7C6A0F1F" w:rsidR="00D7021F" w:rsidRDefault="009C12B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E180D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учета движения денежных средств на расчетных счетах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D6432" w14:textId="77777777" w:rsidR="00D7021F" w:rsidRDefault="00D7021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91DB" w14:textId="77777777" w:rsidR="00D7021F" w:rsidRDefault="004A3E24">
            <w:pPr>
              <w:numPr>
                <w:ilvl w:val="0"/>
                <w:numId w:val="7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производственных операций нормативным документам и законодательным актам, действующим на территории Российской Федерации;</w:t>
            </w:r>
          </w:p>
          <w:p w14:paraId="40ED412C" w14:textId="77777777" w:rsidR="00D7021F" w:rsidRDefault="004A3E24">
            <w:pPr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оформления выписок со счетов в банке и документов, приложенных к выпискам, подтверждающих операции;</w:t>
            </w:r>
          </w:p>
          <w:p w14:paraId="68E9FAD1" w14:textId="77777777" w:rsidR="00D7021F" w:rsidRDefault="004A3E24">
            <w:pPr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Арифметическая проверка правильности выведения остатков на конец дня и подсчета оборотов по приходу и расходу денежных средств в выписках банка и регистрах по учету денежных средств в банке;</w:t>
            </w:r>
          </w:p>
          <w:p w14:paraId="734808DA" w14:textId="77777777" w:rsidR="00D7021F" w:rsidRDefault="004A3E24">
            <w:pPr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записей в выписках банка и регистрах бухгалтерского учета, регистрах бухгалтерского учета и статей баланса;</w:t>
            </w:r>
          </w:p>
          <w:p w14:paraId="2D8886BC" w14:textId="77777777" w:rsidR="00D7021F" w:rsidRDefault="004A3E24">
            <w:pPr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порядка ведения учетных регистров;</w:t>
            </w:r>
          </w:p>
          <w:p w14:paraId="69A5B7BB" w14:textId="77777777" w:rsidR="00D7021F" w:rsidRDefault="004A3E24">
            <w:pPr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ведения регистров синтетического учета по каждому расчетному, депозитному счету, открытому в банке, составления сводного регистра;</w:t>
            </w:r>
          </w:p>
          <w:p w14:paraId="15866E2F" w14:textId="77777777" w:rsidR="00D7021F" w:rsidRDefault="004A3E24">
            <w:pPr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своевременности отражения в регистрах синтетического учета операций по движению денежных средств на расчетном, депозитном счете; </w:t>
            </w:r>
          </w:p>
          <w:p w14:paraId="613DAE1B" w14:textId="77777777" w:rsidR="00D7021F" w:rsidRDefault="004A3E24">
            <w:pPr>
              <w:numPr>
                <w:ilvl w:val="0"/>
                <w:numId w:val="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тождественности записей в учетных регистрах и в выписке банка.</w:t>
            </w:r>
          </w:p>
        </w:tc>
      </w:tr>
      <w:tr w:rsidR="00D7021F" w14:paraId="116100BF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ED5FC" w14:textId="398CDF5D" w:rsidR="00D7021F" w:rsidRDefault="009C12B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14:paraId="4203F8EB" w14:textId="77777777" w:rsidR="00D7021F" w:rsidRDefault="00D702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11714" w14:textId="77777777" w:rsidR="00D7021F" w:rsidRDefault="004A3E2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расчетов с дебиторами и кредиторами.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F2D95" w14:textId="77777777" w:rsidR="00D7021F" w:rsidRDefault="00D7021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ACBC" w14:textId="1BA29D14" w:rsidR="00D7021F" w:rsidRDefault="004A3E24">
            <w:pPr>
              <w:numPr>
                <w:ilvl w:val="1"/>
                <w:numId w:val="8"/>
              </w:numPr>
              <w:tabs>
                <w:tab w:val="left" w:pos="12240"/>
              </w:tabs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подтверждение полноты и правильности проведенных инвентаризаций расчетов с дебиторами и кредиторами и отражения их результатов в учет</w:t>
            </w:r>
            <w:r w:rsidR="002E0DF4">
              <w:rPr>
                <w:sz w:val="20"/>
                <w:szCs w:val="20"/>
              </w:rPr>
              <w:t>;</w:t>
            </w:r>
          </w:p>
          <w:p w14:paraId="02F36897" w14:textId="6B697E22" w:rsidR="00D7021F" w:rsidRDefault="004A3E24">
            <w:pPr>
              <w:numPr>
                <w:ilvl w:val="1"/>
                <w:numId w:val="8"/>
              </w:numPr>
              <w:tabs>
                <w:tab w:val="left" w:pos="12240"/>
              </w:tabs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подтверждение правильности оформления первичных документов по приобретению товарно-материальных ценностей и получению услуг с целью подтверждения обоснованности возникновения кредиторской задолженности; </w:t>
            </w:r>
          </w:p>
          <w:p w14:paraId="4F00167C" w14:textId="3C25D420" w:rsidR="00D7021F" w:rsidRDefault="004A3E24">
            <w:pPr>
              <w:numPr>
                <w:ilvl w:val="1"/>
                <w:numId w:val="8"/>
              </w:numPr>
              <w:tabs>
                <w:tab w:val="left" w:pos="12240"/>
              </w:tabs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подтверждение своевременности погашения, и правильность отражения на счетах бухгалтерского учета кредиторской задолженности; </w:t>
            </w:r>
          </w:p>
          <w:p w14:paraId="516B84A4" w14:textId="77777777" w:rsidR="00D7021F" w:rsidRDefault="004A3E24">
            <w:pPr>
              <w:numPr>
                <w:ilvl w:val="1"/>
                <w:numId w:val="8"/>
              </w:numPr>
              <w:tabs>
                <w:tab w:val="left" w:pos="12240"/>
              </w:tabs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правильности оформления первичных документов по поставке товаров и оказанию услуг с целью </w:t>
            </w:r>
            <w:r>
              <w:rPr>
                <w:sz w:val="20"/>
                <w:szCs w:val="20"/>
              </w:rPr>
              <w:lastRenderedPageBreak/>
              <w:t xml:space="preserve">подтверждения обоснованности возникновения дебиторской задолженности;          </w:t>
            </w:r>
          </w:p>
          <w:p w14:paraId="24CC6025" w14:textId="2A2F5F0E" w:rsidR="00D7021F" w:rsidRDefault="004A3E24">
            <w:pPr>
              <w:numPr>
                <w:ilvl w:val="1"/>
                <w:numId w:val="8"/>
              </w:numPr>
              <w:tabs>
                <w:tab w:val="left" w:pos="12240"/>
              </w:tabs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Подтверждение своевременности погашения и правильности отражения на счетах бухгалтерского учета дебиторской задолженности</w:t>
            </w:r>
            <w:r w:rsidR="002E0DF4">
              <w:rPr>
                <w:sz w:val="20"/>
                <w:szCs w:val="20"/>
              </w:rPr>
              <w:t>.</w:t>
            </w:r>
          </w:p>
          <w:p w14:paraId="4F9139BE" w14:textId="77777777" w:rsidR="00D7021F" w:rsidRDefault="00D7021F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</w:tr>
      <w:tr w:rsidR="00D7021F" w14:paraId="3101D9D7" w14:textId="77777777"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6673E" w14:textId="7EAC0B07" w:rsidR="00D7021F" w:rsidRDefault="009C12B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396C7" w14:textId="77777777" w:rsidR="00D7021F" w:rsidRDefault="004A3E2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учета основных средств, НМЛ, МБП и материалы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47A8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сохранности и использования основных средств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B913" w14:textId="77777777" w:rsidR="00D7021F" w:rsidRDefault="004A3E24">
            <w:pPr>
              <w:numPr>
                <w:ilvl w:val="0"/>
                <w:numId w:val="9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отчетных показателей соответствующим показателям в регистрах синтетического и аналитического учета;</w:t>
            </w:r>
          </w:p>
          <w:p w14:paraId="4D39B47D" w14:textId="77777777" w:rsidR="00D7021F" w:rsidRDefault="004A3E24">
            <w:pPr>
              <w:numPr>
                <w:ilvl w:val="0"/>
                <w:numId w:val="9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данных инвентаризации;</w:t>
            </w:r>
          </w:p>
          <w:p w14:paraId="39CE0E28" w14:textId="77777777" w:rsidR="00D7021F" w:rsidRDefault="004A3E24">
            <w:pPr>
              <w:numPr>
                <w:ilvl w:val="0"/>
                <w:numId w:val="9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ведения учета ОС в условиях автоматизированной формы учета.</w:t>
            </w:r>
          </w:p>
        </w:tc>
      </w:tr>
      <w:tr w:rsidR="00D7021F" w14:paraId="55D5D533" w14:textId="77777777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EE79F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8826B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043E6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правильности отнесения предметов к основным средствам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A027" w14:textId="77777777" w:rsidR="00D7021F" w:rsidRDefault="004A3E24">
            <w:pPr>
              <w:numPr>
                <w:ilvl w:val="0"/>
                <w:numId w:val="10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отнесения объектов ОС к соответствующим категориям;</w:t>
            </w:r>
          </w:p>
          <w:p w14:paraId="4D51CA97" w14:textId="77777777" w:rsidR="00D7021F" w:rsidRDefault="004A3E24">
            <w:pPr>
              <w:numPr>
                <w:ilvl w:val="0"/>
                <w:numId w:val="10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привязки ОС к материально ответственным лицам.</w:t>
            </w:r>
          </w:p>
        </w:tc>
      </w:tr>
      <w:tr w:rsidR="00D7021F" w14:paraId="6C76A9B2" w14:textId="77777777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0F746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AE191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C46CE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оценки основных средств в бухгалтерском учете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F91E" w14:textId="77777777" w:rsidR="00D7021F" w:rsidRDefault="004A3E24">
            <w:pPr>
              <w:numPr>
                <w:ilvl w:val="0"/>
                <w:numId w:val="11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определения первоначальной стоимости ОС;</w:t>
            </w:r>
          </w:p>
          <w:p w14:paraId="4D75DB26" w14:textId="765E7087" w:rsidR="00D7021F" w:rsidRDefault="004A3E24">
            <w:pPr>
              <w:numPr>
                <w:ilvl w:val="0"/>
                <w:numId w:val="11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проведения переоценки ОС и результатов её оформления</w:t>
            </w:r>
            <w:r w:rsidR="002E0DF4">
              <w:rPr>
                <w:sz w:val="20"/>
                <w:szCs w:val="20"/>
              </w:rPr>
              <w:t>;</w:t>
            </w:r>
          </w:p>
          <w:p w14:paraId="3D65262F" w14:textId="200FE015" w:rsidR="00D7021F" w:rsidRDefault="004A3E24">
            <w:pPr>
              <w:numPr>
                <w:ilvl w:val="0"/>
                <w:numId w:val="11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тождественности показателей бухгалтерской отчетности и регистров бухгалтерского учета</w:t>
            </w:r>
            <w:r w:rsidR="002E0DF4">
              <w:rPr>
                <w:sz w:val="20"/>
                <w:szCs w:val="20"/>
              </w:rPr>
              <w:t>.</w:t>
            </w:r>
          </w:p>
        </w:tc>
      </w:tr>
      <w:tr w:rsidR="00D7021F" w14:paraId="38D667A0" w14:textId="77777777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8FC97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EE820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BE11B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оформления и отражения в учете операций по поступлению и выбытию основных средств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753D" w14:textId="77777777" w:rsidR="00D7021F" w:rsidRDefault="004A3E24">
            <w:pPr>
              <w:numPr>
                <w:ilvl w:val="0"/>
                <w:numId w:val="12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источников поступления ОС;</w:t>
            </w:r>
          </w:p>
          <w:p w14:paraId="31D99A59" w14:textId="77777777" w:rsidR="00D7021F" w:rsidRDefault="004A3E24">
            <w:pPr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оформления приобретенных ОС;</w:t>
            </w:r>
          </w:p>
          <w:p w14:paraId="04032579" w14:textId="77777777" w:rsidR="00D7021F" w:rsidRDefault="004A3E24">
            <w:pPr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отражения суммы НДС при приобретении ОС;</w:t>
            </w:r>
          </w:p>
          <w:p w14:paraId="07C13DF8" w14:textId="77777777" w:rsidR="00D7021F" w:rsidRDefault="004A3E24">
            <w:pPr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оформления документов при различных вариантах поступления ОС;</w:t>
            </w:r>
          </w:p>
          <w:p w14:paraId="1B73109D" w14:textId="77777777" w:rsidR="00D7021F" w:rsidRDefault="004A3E24">
            <w:pPr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использования типовых форм по учету ОС;</w:t>
            </w:r>
          </w:p>
          <w:p w14:paraId="28510F62" w14:textId="77777777" w:rsidR="00D7021F" w:rsidRDefault="004A3E24">
            <w:pPr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операций по выбытию ОС;</w:t>
            </w:r>
          </w:p>
          <w:p w14:paraId="48C7ECDB" w14:textId="77777777" w:rsidR="00D7021F" w:rsidRDefault="004A3E24">
            <w:pPr>
              <w:numPr>
                <w:ilvl w:val="0"/>
                <w:numId w:val="12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уплаты налогов по реализованным ОС.</w:t>
            </w:r>
          </w:p>
        </w:tc>
      </w:tr>
      <w:tr w:rsidR="00D7021F" w14:paraId="52F84737" w14:textId="77777777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22557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F47A2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BE132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операций с нематериальными активами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4915" w14:textId="77777777" w:rsidR="00D7021F" w:rsidRDefault="004A3E24">
            <w:pPr>
              <w:numPr>
                <w:ilvl w:val="0"/>
                <w:numId w:val="13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отчетных показателей существующим показателям в регистрах синтетического и аналитического учета;</w:t>
            </w:r>
          </w:p>
          <w:p w14:paraId="764F5F4D" w14:textId="77777777" w:rsidR="00D7021F" w:rsidRDefault="004A3E24">
            <w:pPr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определения первоначальной стоимости;</w:t>
            </w:r>
          </w:p>
          <w:p w14:paraId="5E080169" w14:textId="4F54FC8E" w:rsidR="00D7021F" w:rsidRDefault="004A3E24">
            <w:pPr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источников поступления НМ</w:t>
            </w:r>
            <w:r w:rsidR="002E0DF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;</w:t>
            </w:r>
          </w:p>
          <w:p w14:paraId="742AFD78" w14:textId="15F7E033" w:rsidR="00D7021F" w:rsidRDefault="004A3E24">
            <w:pPr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оформления документов по приобретенным НМ</w:t>
            </w:r>
            <w:r w:rsidR="002E0DF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;</w:t>
            </w:r>
          </w:p>
          <w:p w14:paraId="304AED1D" w14:textId="587F7904" w:rsidR="00D7021F" w:rsidRDefault="004A3E24">
            <w:pPr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отражения сумы НДС при приобретении объектов НМ</w:t>
            </w:r>
            <w:r w:rsidR="002E0DF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;</w:t>
            </w:r>
          </w:p>
          <w:p w14:paraId="45774993" w14:textId="4CB45FB6" w:rsidR="00D7021F" w:rsidRDefault="004A3E24">
            <w:pPr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начисления амортизации по НМ</w:t>
            </w:r>
            <w:r w:rsidR="002E0DF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;</w:t>
            </w:r>
          </w:p>
          <w:p w14:paraId="0C4E76A7" w14:textId="77777777" w:rsidR="00D7021F" w:rsidRDefault="004A3E24">
            <w:pPr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используемых способов начисления амортизации требованиям бухгалтерского учета;</w:t>
            </w:r>
          </w:p>
          <w:p w14:paraId="392AADE0" w14:textId="3CB86BD6" w:rsidR="00D7021F" w:rsidRDefault="004A3E24">
            <w:pPr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оформления операций по выбытию НМ</w:t>
            </w:r>
            <w:r w:rsidR="002E0DF4">
              <w:rPr>
                <w:sz w:val="20"/>
                <w:szCs w:val="20"/>
              </w:rPr>
              <w:t>А;</w:t>
            </w:r>
          </w:p>
          <w:p w14:paraId="355D2F9C" w14:textId="4F101D11" w:rsidR="00D7021F" w:rsidRDefault="004A3E24">
            <w:pPr>
              <w:numPr>
                <w:ilvl w:val="0"/>
                <w:numId w:val="13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ведения учета НМ</w:t>
            </w:r>
            <w:r w:rsidR="002E0DF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в условиях автоматизированного учета.</w:t>
            </w:r>
          </w:p>
        </w:tc>
      </w:tr>
      <w:tr w:rsidR="00D7021F" w14:paraId="0838C1E0" w14:textId="77777777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0F721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560EB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3C620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материалов.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A0A7" w14:textId="77777777" w:rsidR="00D7021F" w:rsidRDefault="004A3E24" w:rsidP="002E0DF4">
            <w:pPr>
              <w:tabs>
                <w:tab w:val="left" w:pos="72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согласованности записей между синтетическим и аналитическим учетом по балансовым счетам, учитывающим материальные ценности; </w:t>
            </w:r>
          </w:p>
          <w:p w14:paraId="36A4029B" w14:textId="3837F1CA" w:rsidR="00D7021F" w:rsidRDefault="004A3E24" w:rsidP="002E0DF4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полноты оприходования ценностей и правильность их оценки; </w:t>
            </w:r>
          </w:p>
          <w:p w14:paraId="4D04C947" w14:textId="77777777" w:rsidR="00D7021F" w:rsidRDefault="004A3E24" w:rsidP="002E0DF4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правильности оценки материалов в учете; </w:t>
            </w:r>
          </w:p>
          <w:p w14:paraId="4BAA81E2" w14:textId="77777777" w:rsidR="00D7021F" w:rsidRDefault="004A3E24" w:rsidP="002E0DF4">
            <w:pPr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применения первичных документов по учету материалов;</w:t>
            </w:r>
          </w:p>
          <w:p w14:paraId="674593D1" w14:textId="579986B3" w:rsidR="00D7021F" w:rsidRDefault="004A3E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оформления по приходу;</w:t>
            </w:r>
          </w:p>
          <w:p w14:paraId="73449529" w14:textId="1038AA9E" w:rsidR="00D7021F" w:rsidRDefault="004A3E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Проверка правильности осуществления бухгалтерией учета материалов в бухгалтерии фонда;</w:t>
            </w:r>
          </w:p>
          <w:p w14:paraId="291B36BD" w14:textId="1CE8C0C9" w:rsidR="00D7021F" w:rsidRDefault="004A3E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правильности отражения в учете </w:t>
            </w:r>
            <w:proofErr w:type="spellStart"/>
            <w:r>
              <w:rPr>
                <w:sz w:val="20"/>
                <w:szCs w:val="20"/>
              </w:rPr>
              <w:t>неотфактурованных</w:t>
            </w:r>
            <w:proofErr w:type="spellEnd"/>
            <w:r>
              <w:rPr>
                <w:sz w:val="20"/>
                <w:szCs w:val="20"/>
              </w:rPr>
              <w:t xml:space="preserve"> поставок и материальных ценностей, находящихся в пути; </w:t>
            </w:r>
          </w:p>
          <w:p w14:paraId="140FB96B" w14:textId="2E07F2E7" w:rsidR="00D7021F" w:rsidRDefault="004A3E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отражения суммы НДС в платежных и первичных документах при приобретении и реализации материалов;</w:t>
            </w:r>
          </w:p>
          <w:p w14:paraId="3A48FFA9" w14:textId="0E5D2681" w:rsidR="00D7021F" w:rsidRDefault="004A3E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проведения инвентаризации материальных ценностей в сроки, установленные Учетной политикой, оформления результатов инвентаризации;</w:t>
            </w:r>
          </w:p>
          <w:p w14:paraId="1D84BC4E" w14:textId="195D8A4B" w:rsidR="00D7021F" w:rsidRDefault="004A3E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корреспонденции счетов по движению ТМЦ, платежных, товарных документов и отраженных в регистрах аналитического и синтетического учета</w:t>
            </w:r>
          </w:p>
        </w:tc>
      </w:tr>
      <w:tr w:rsidR="00D7021F" w14:paraId="7DCE18C7" w14:textId="77777777"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25112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CD6D6" w14:textId="77777777" w:rsidR="00D7021F" w:rsidRDefault="00D7021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AAB88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использования материальных ресурсов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4770" w14:textId="77777777" w:rsidR="00D7021F" w:rsidRDefault="004A3E24">
            <w:pPr>
              <w:numPr>
                <w:ilvl w:val="0"/>
                <w:numId w:val="15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совершенных операций по отпуску материалов для осуществления деятельности фонда;</w:t>
            </w:r>
          </w:p>
          <w:p w14:paraId="12987506" w14:textId="77777777" w:rsidR="00D7021F" w:rsidRDefault="004A3E24">
            <w:pPr>
              <w:numPr>
                <w:ilvl w:val="0"/>
                <w:numId w:val="15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оформления документов по расходу материалов, их внутреннему перемещению.</w:t>
            </w:r>
          </w:p>
        </w:tc>
      </w:tr>
      <w:tr w:rsidR="00D7021F" w14:paraId="56D774FF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993EF" w14:textId="2214FEDD" w:rsidR="00D7021F" w:rsidRDefault="009C12B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D2B97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расчетов с подотчетными лицами.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E0BAF" w14:textId="77777777" w:rsidR="00D7021F" w:rsidRDefault="00D7021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0B84" w14:textId="77777777" w:rsidR="00D7021F" w:rsidRDefault="004A3E24">
            <w:pPr>
              <w:numPr>
                <w:ilvl w:val="0"/>
                <w:numId w:val="16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соответствия показателей отчетности данными синтетического учета;</w:t>
            </w:r>
          </w:p>
          <w:p w14:paraId="683DCA13" w14:textId="77777777" w:rsidR="00D7021F" w:rsidRDefault="004A3E24">
            <w:pPr>
              <w:numPr>
                <w:ilvl w:val="0"/>
                <w:numId w:val="16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обоснованности выдачи авансов в подотчет;</w:t>
            </w:r>
          </w:p>
          <w:p w14:paraId="257E3650" w14:textId="77777777" w:rsidR="00D7021F" w:rsidRDefault="004A3E24">
            <w:pPr>
              <w:numPr>
                <w:ilvl w:val="0"/>
                <w:numId w:val="16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своевременности представления авансовых отчетов;</w:t>
            </w:r>
          </w:p>
          <w:p w14:paraId="75F654C1" w14:textId="77777777" w:rsidR="00D7021F" w:rsidRDefault="004A3E24">
            <w:pPr>
              <w:numPr>
                <w:ilvl w:val="0"/>
                <w:numId w:val="16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документальной обоснованности использования подотчетных сумм;</w:t>
            </w:r>
          </w:p>
          <w:p w14:paraId="061E6B13" w14:textId="77777777" w:rsidR="00D7021F" w:rsidRDefault="004A3E24">
            <w:pPr>
              <w:numPr>
                <w:ilvl w:val="0"/>
                <w:numId w:val="16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обоснованности включения в расходы на содержание аппарата;</w:t>
            </w:r>
          </w:p>
          <w:p w14:paraId="57FE6E39" w14:textId="77777777" w:rsidR="00D7021F" w:rsidRDefault="004A3E24">
            <w:pPr>
              <w:numPr>
                <w:ilvl w:val="0"/>
                <w:numId w:val="16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отражения в учете расчетов с подотчетными лицами.</w:t>
            </w:r>
          </w:p>
        </w:tc>
      </w:tr>
      <w:tr w:rsidR="00D7021F" w14:paraId="49796F20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030E2" w14:textId="0BA86796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12BC">
              <w:rPr>
                <w:sz w:val="20"/>
                <w:szCs w:val="20"/>
              </w:rPr>
              <w:t>0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00433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расчетов по оплате труда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DF7EA" w14:textId="77777777" w:rsidR="00D7021F" w:rsidRDefault="00D7021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8841" w14:textId="77777777" w:rsidR="00D7021F" w:rsidRDefault="004A3E24">
            <w:pPr>
              <w:numPr>
                <w:ilvl w:val="0"/>
                <w:numId w:val="17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организации документального оформления учета кадров, рабочего времени, наличие и анализ документов, определяющих оплату труда;</w:t>
            </w:r>
          </w:p>
          <w:p w14:paraId="5563DA96" w14:textId="7EBFA35D" w:rsidR="00D7021F" w:rsidRDefault="004A3E24">
            <w:pPr>
              <w:numPr>
                <w:ilvl w:val="0"/>
                <w:numId w:val="1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наличия трудовых договоров, положения о премировании и т.п.;</w:t>
            </w:r>
          </w:p>
          <w:p w14:paraId="72C59670" w14:textId="77777777" w:rsidR="00D7021F" w:rsidRDefault="004A3E24">
            <w:pPr>
              <w:numPr>
                <w:ilvl w:val="0"/>
                <w:numId w:val="1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начисления заработной платы по видам оплаты: за отработанное время; за неотработанное время; в соответствии с законодательством;</w:t>
            </w:r>
          </w:p>
          <w:p w14:paraId="212940BF" w14:textId="77777777" w:rsidR="00D7021F" w:rsidRDefault="004A3E24">
            <w:pPr>
              <w:numPr>
                <w:ilvl w:val="0"/>
                <w:numId w:val="1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удержания из заработной платы;</w:t>
            </w:r>
          </w:p>
          <w:p w14:paraId="46A5B52E" w14:textId="77777777" w:rsidR="00D7021F" w:rsidRDefault="004A3E24">
            <w:pPr>
              <w:numPr>
                <w:ilvl w:val="0"/>
                <w:numId w:val="1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обоснованности включения расходов на зарплату в расходы на содержание аппарата;</w:t>
            </w:r>
          </w:p>
          <w:p w14:paraId="5E247EB9" w14:textId="77777777" w:rsidR="00D7021F" w:rsidRDefault="004A3E24">
            <w:pPr>
              <w:numPr>
                <w:ilvl w:val="0"/>
                <w:numId w:val="1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отражения зарплаты и удержаний из неё в регистрах бухгалтерского учета;</w:t>
            </w:r>
          </w:p>
          <w:p w14:paraId="391E7751" w14:textId="77777777" w:rsidR="00D7021F" w:rsidRDefault="004A3E24">
            <w:pPr>
              <w:numPr>
                <w:ilvl w:val="0"/>
                <w:numId w:val="1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учета совокупного дохода для целей налогообложения;</w:t>
            </w:r>
          </w:p>
          <w:p w14:paraId="60D43EC8" w14:textId="77777777" w:rsidR="00D7021F" w:rsidRDefault="004A3E24">
            <w:pPr>
              <w:numPr>
                <w:ilvl w:val="0"/>
                <w:numId w:val="17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тождественности показателей бухгалтерской отчетности и регистров бухгалтерского учета.</w:t>
            </w:r>
          </w:p>
        </w:tc>
      </w:tr>
      <w:tr w:rsidR="00D7021F" w14:paraId="76319F99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8EAC0" w14:textId="023C072B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12BC">
              <w:rPr>
                <w:sz w:val="20"/>
                <w:szCs w:val="20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2B692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расчетов по отчислениям во внебюджетные фонды РФ, налогу на доходы физических лиц.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2CB51" w14:textId="77777777" w:rsidR="00D7021F" w:rsidRDefault="00D7021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B8D1" w14:textId="77777777" w:rsidR="00D7021F" w:rsidRDefault="004A3E24">
            <w:pPr>
              <w:numPr>
                <w:ilvl w:val="0"/>
                <w:numId w:val="18"/>
              </w:numPr>
              <w:snapToGrid w:val="0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тождественности показателей бухгалтерской отчетности бухгалтерского учета;</w:t>
            </w:r>
          </w:p>
          <w:p w14:paraId="4DA51453" w14:textId="77777777" w:rsidR="00D7021F" w:rsidRDefault="004A3E24">
            <w:pPr>
              <w:numPr>
                <w:ilvl w:val="0"/>
                <w:numId w:val="18"/>
              </w:numPr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определения налоговых баз по налогам: отчисления во внебюджетные фонды; налог на доходы физических лиц.</w:t>
            </w:r>
          </w:p>
          <w:p w14:paraId="51098B4B" w14:textId="77777777" w:rsidR="00D7021F" w:rsidRDefault="00D7021F">
            <w:pPr>
              <w:jc w:val="both"/>
              <w:rPr>
                <w:sz w:val="20"/>
                <w:szCs w:val="20"/>
              </w:rPr>
            </w:pPr>
          </w:p>
        </w:tc>
      </w:tr>
      <w:tr w:rsidR="00D7021F" w14:paraId="02AD78BE" w14:textId="77777777"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14:paraId="68C4AB3D" w14:textId="1464FA09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12BC">
              <w:rPr>
                <w:sz w:val="20"/>
                <w:szCs w:val="20"/>
              </w:rPr>
              <w:t>2</w:t>
            </w:r>
          </w:p>
        </w:tc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</w:tcPr>
          <w:p w14:paraId="5BEA2A56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формирования собственных средств Фонда</w:t>
            </w:r>
          </w:p>
        </w:tc>
        <w:tc>
          <w:tcPr>
            <w:tcW w:w="1725" w:type="dxa"/>
            <w:tcBorders>
              <w:left w:val="single" w:sz="4" w:space="0" w:color="000000"/>
              <w:bottom w:val="single" w:sz="4" w:space="0" w:color="000000"/>
            </w:tcBorders>
          </w:tcPr>
          <w:p w14:paraId="416703A7" w14:textId="77777777" w:rsidR="00D7021F" w:rsidRDefault="004A3E2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 собственных средств фонда (нераспределенной прибыли)</w:t>
            </w:r>
          </w:p>
        </w:tc>
        <w:tc>
          <w:tcPr>
            <w:tcW w:w="52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F26A" w14:textId="0FF30D48" w:rsidR="00D7021F" w:rsidRDefault="004A3E24">
            <w:pPr>
              <w:snapToGrid w:val="0"/>
              <w:ind w:right="-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1.Проверка правильности формирования нераспределенной прибыли;</w:t>
            </w:r>
          </w:p>
          <w:p w14:paraId="3A7790B1" w14:textId="77777777" w:rsidR="00D7021F" w:rsidRDefault="004A3E24">
            <w:pPr>
              <w:snapToGrid w:val="0"/>
              <w:ind w:right="-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Проверка правильности отнесения нераспределенной прибыли на счета целевого финансирования;</w:t>
            </w:r>
          </w:p>
          <w:p w14:paraId="17F6BB62" w14:textId="77777777" w:rsidR="00D7021F" w:rsidRDefault="00D7021F">
            <w:pPr>
              <w:snapToGrid w:val="0"/>
              <w:jc w:val="both"/>
              <w:rPr>
                <w:sz w:val="20"/>
                <w:szCs w:val="20"/>
              </w:rPr>
            </w:pPr>
          </w:p>
          <w:p w14:paraId="6F7F5359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D7021F" w14:paraId="01CF4B61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DCACB" w14:textId="1AE8F6EF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12BC">
              <w:rPr>
                <w:sz w:val="20"/>
                <w:szCs w:val="20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9A94F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бухгалтерской отчетности </w:t>
            </w:r>
            <w:r>
              <w:rPr>
                <w:sz w:val="20"/>
                <w:szCs w:val="20"/>
              </w:rPr>
              <w:lastRenderedPageBreak/>
              <w:t>требованиям действующего законодательства.</w:t>
            </w:r>
          </w:p>
          <w:p w14:paraId="6CC12B31" w14:textId="77777777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(402-ФЗ – на общие требования)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2DB6E" w14:textId="77777777" w:rsidR="00D7021F" w:rsidRDefault="00D7021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E2B5" w14:textId="038C067B" w:rsidR="00D7021F" w:rsidRDefault="004A3E24">
            <w:pPr>
              <w:snapToGrid w:val="0"/>
              <w:ind w:right="-3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Ознакомление с содержанием документов;</w:t>
            </w:r>
          </w:p>
          <w:p w14:paraId="40ADE1C4" w14:textId="4020019A" w:rsidR="00D7021F" w:rsidRDefault="004A3E24">
            <w:pPr>
              <w:ind w:right="-3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Проверка правильности составления консолидированной</w:t>
            </w:r>
            <w:r w:rsidR="002E0D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отчетности; </w:t>
            </w:r>
          </w:p>
          <w:p w14:paraId="69BAF5E4" w14:textId="3A3CCA81" w:rsidR="00D7021F" w:rsidRDefault="004A3E24">
            <w:pPr>
              <w:ind w:right="-3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 Сверка данных учетных регистров с данными отчетности;</w:t>
            </w:r>
          </w:p>
          <w:p w14:paraId="447815ED" w14:textId="458A9991" w:rsidR="00D7021F" w:rsidRDefault="004A3E24">
            <w:pPr>
              <w:ind w:right="-3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  <w:r w:rsidR="002E0DF4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Провер</w:t>
            </w:r>
            <w:r w:rsidR="002E0DF4">
              <w:rPr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 xml:space="preserve"> состав</w:t>
            </w:r>
            <w:r w:rsidR="002E0DF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и содержани</w:t>
            </w:r>
            <w:r w:rsidR="002E0DF4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форм бухгалтерской</w:t>
            </w:r>
            <w:r w:rsidR="002E0D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отчетности, увязк</w:t>
            </w:r>
            <w:r w:rsidR="002E0DF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ее показателей;</w:t>
            </w:r>
          </w:p>
          <w:p w14:paraId="4DEE06BB" w14:textId="0091F3EC" w:rsidR="00D7021F" w:rsidRDefault="004A3E24">
            <w:pPr>
              <w:ind w:right="-3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2E0D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Выра</w:t>
            </w:r>
            <w:r w:rsidR="002E0DF4">
              <w:rPr>
                <w:sz w:val="20"/>
                <w:szCs w:val="20"/>
              </w:rPr>
              <w:t>жение</w:t>
            </w:r>
            <w:r>
              <w:rPr>
                <w:sz w:val="20"/>
                <w:szCs w:val="20"/>
              </w:rPr>
              <w:t xml:space="preserve"> мнени</w:t>
            </w:r>
            <w:r w:rsidR="002E0DF4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 о достоверности показателей отчетности во всех существенных отношениях;</w:t>
            </w:r>
          </w:p>
          <w:p w14:paraId="3F850169" w14:textId="3C725C1E" w:rsidR="00D7021F" w:rsidRDefault="004A3E24">
            <w:pPr>
              <w:ind w:right="-3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  Провер</w:t>
            </w:r>
            <w:r w:rsidR="002E0DF4">
              <w:rPr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 xml:space="preserve"> правильност</w:t>
            </w:r>
            <w:r w:rsidR="002E0DF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оценки статей отчетности;</w:t>
            </w:r>
          </w:p>
          <w:p w14:paraId="6C93EBF0" w14:textId="62A96A7D" w:rsidR="00D7021F" w:rsidRDefault="004A3E24">
            <w:pPr>
              <w:ind w:right="-3" w:hanging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84C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Провер</w:t>
            </w:r>
            <w:r w:rsidR="00384C7F">
              <w:rPr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 xml:space="preserve"> правильност</w:t>
            </w:r>
            <w:r w:rsidR="00384C7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формирования сводной (консолидированной отчетности (при наличии таковой).</w:t>
            </w:r>
          </w:p>
        </w:tc>
      </w:tr>
      <w:tr w:rsidR="00D7021F" w14:paraId="2F0D9DD3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B7F04" w14:textId="57282909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9C12BC">
              <w:rPr>
                <w:sz w:val="20"/>
                <w:szCs w:val="20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46776" w14:textId="77777777" w:rsidR="00D7021F" w:rsidRDefault="004A3E2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Правильность всех заключенных контрактов Фонда с субподрядчиками и контрактов Фонда, где он непосредственно сам предоставляет услуги.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214BD" w14:textId="77777777" w:rsidR="00D7021F" w:rsidRDefault="00D7021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8362" w14:textId="1C715116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всех заключенных контрактов Фонда с субподрядчиками, заемщиками.</w:t>
            </w:r>
          </w:p>
          <w:p w14:paraId="07A70F96" w14:textId="2E96B07E" w:rsidR="00D7021F" w:rsidRDefault="004A3E24">
            <w:pPr>
              <w:ind w:right="-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контрактов Фонда, где он непосредственно сам предоставляет услуги на предмет соответствия с формами договоров.</w:t>
            </w:r>
          </w:p>
        </w:tc>
      </w:tr>
      <w:tr w:rsidR="00D7021F" w14:paraId="7C0CFF3C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C6133" w14:textId="362B80C2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12BC">
              <w:rPr>
                <w:sz w:val="20"/>
                <w:szCs w:val="20"/>
              </w:rPr>
              <w:t>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9A830" w14:textId="77777777" w:rsidR="00D7021F" w:rsidRDefault="004A3E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Проверка правильности учета Фонда в рамках осуществляемых функций региональной гарантийной организации</w:t>
            </w:r>
          </w:p>
          <w:p w14:paraId="2915F7EE" w14:textId="77777777" w:rsidR="00D7021F" w:rsidRDefault="004A3E2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0"/>
                <w:szCs w:val="20"/>
              </w:rPr>
              <w:t>(Приказ Минэкономразвития России от 28.11.2016 №763)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52BAB" w14:textId="77777777" w:rsidR="00D7021F" w:rsidRDefault="00D7021F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2F92" w14:textId="77777777" w:rsidR="00384C7F" w:rsidRDefault="004A3E24" w:rsidP="00384C7F">
            <w:pPr>
              <w:pStyle w:val="af0"/>
              <w:tabs>
                <w:tab w:val="left" w:pos="206"/>
                <w:tab w:val="left" w:pos="720"/>
              </w:tabs>
              <w:snapToGrid w:val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операций по размещению гарантийного капитала;</w:t>
            </w:r>
          </w:p>
          <w:p w14:paraId="738473AA" w14:textId="77777777" w:rsidR="00384C7F" w:rsidRDefault="004A3E24" w:rsidP="00384C7F">
            <w:pPr>
              <w:pStyle w:val="af0"/>
              <w:tabs>
                <w:tab w:val="left" w:pos="206"/>
                <w:tab w:val="left" w:pos="720"/>
              </w:tabs>
              <w:snapToGrid w:val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операций по отражению и движению лимитов поручительств, в т.ч. общего операционного лимита, лимита на кредитные организации,</w:t>
            </w:r>
          </w:p>
          <w:p w14:paraId="72653389" w14:textId="77777777" w:rsidR="00384C7F" w:rsidRDefault="004A3E24" w:rsidP="00384C7F">
            <w:pPr>
              <w:pStyle w:val="af0"/>
              <w:tabs>
                <w:tab w:val="left" w:pos="206"/>
                <w:tab w:val="left" w:pos="720"/>
              </w:tabs>
              <w:snapToGrid w:val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выданных поручительств;</w:t>
            </w:r>
          </w:p>
          <w:p w14:paraId="046B6CC2" w14:textId="735DD945" w:rsidR="00D7021F" w:rsidRDefault="004A3E24" w:rsidP="00384C7F">
            <w:pPr>
              <w:pStyle w:val="af0"/>
              <w:tabs>
                <w:tab w:val="left" w:pos="206"/>
                <w:tab w:val="left" w:pos="720"/>
              </w:tabs>
              <w:snapToGrid w:val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комиссий, полученных Фондом по операциям предоставления поручительств;</w:t>
            </w:r>
          </w:p>
          <w:p w14:paraId="65E32E07" w14:textId="77777777" w:rsidR="00384C7F" w:rsidRDefault="004A3E24" w:rsidP="00384C7F">
            <w:pPr>
              <w:pStyle w:val="af0"/>
              <w:tabs>
                <w:tab w:val="left" w:pos="206"/>
                <w:tab w:val="left" w:pos="720"/>
              </w:tabs>
              <w:snapToGrid w:val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Правильность отнесения части текущих расходов Фонда на доходы по статье «региональная гарантийная организация», получаемые в виде процентов от размещения гарантийного капитала Фонда;</w:t>
            </w:r>
          </w:p>
          <w:p w14:paraId="09256E81" w14:textId="5F5F4B93" w:rsidR="00D7021F" w:rsidRPr="00384C7F" w:rsidRDefault="004A3E24" w:rsidP="00384C7F">
            <w:pPr>
              <w:pStyle w:val="af0"/>
              <w:tabs>
                <w:tab w:val="left" w:pos="206"/>
                <w:tab w:val="left" w:pos="720"/>
              </w:tabs>
              <w:snapToGrid w:val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контрольных показателей финансово-хозяйственной деятельности Фонда для целей соблюдения требований АО Корпорация развития малого и среднего предпринимательства.</w:t>
            </w:r>
          </w:p>
        </w:tc>
      </w:tr>
      <w:tr w:rsidR="00D7021F" w14:paraId="614F02AA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89FBA" w14:textId="586AAC71" w:rsidR="00D7021F" w:rsidRDefault="004A3E24">
            <w:pPr>
              <w:snapToGrid w:val="0"/>
              <w:jc w:val="both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1</w:t>
            </w:r>
            <w:r w:rsidR="009C12BC">
              <w:rPr>
                <w:color w:val="002060"/>
                <w:sz w:val="20"/>
                <w:szCs w:val="20"/>
              </w:rPr>
              <w:t>6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7104" w14:textId="77777777" w:rsidR="00D7021F" w:rsidRDefault="004A3E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Проверка правильности учета Фонда в рамках осуществляемых функций центра поддержки предпринимательства</w:t>
            </w:r>
          </w:p>
          <w:p w14:paraId="4670AD79" w14:textId="77777777" w:rsidR="00D7021F" w:rsidRDefault="004A3E24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0"/>
                <w:szCs w:val="20"/>
              </w:rPr>
              <w:t>(Приказ Минэкономразвития России от 14.03.2019 № 125)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BE115" w14:textId="77777777" w:rsidR="00D7021F" w:rsidRDefault="00D7021F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D293" w14:textId="77777777" w:rsidR="00D7021F" w:rsidRDefault="004A3E24" w:rsidP="00384C7F">
            <w:pPr>
              <w:pStyle w:val="af0"/>
              <w:tabs>
                <w:tab w:val="left" w:pos="206"/>
              </w:tabs>
              <w:snapToGrid w:val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операций по привлечению средств федерального бюджета и средств регионального бюджета;</w:t>
            </w:r>
          </w:p>
          <w:p w14:paraId="7DB91343" w14:textId="77DFB583" w:rsidR="00D7021F" w:rsidRDefault="004A3E24" w:rsidP="00384C7F">
            <w:pPr>
              <w:pStyle w:val="af0"/>
              <w:tabs>
                <w:tab w:val="left" w:pos="206"/>
              </w:tabs>
              <w:snapToGrid w:val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операций по отражению и движению лимитов денежных средств в рамках утвержденной сметы Центра поддержки предпринимательства (с учетом вносимых в течение финансового года изменений), в т.ч. лимита по статьям затрат, распределённых за счет финансирования регионального бюджета, лимита по статьям затрат, распределённых за счет финансирования федерального бюджета;</w:t>
            </w:r>
          </w:p>
          <w:p w14:paraId="4024E494" w14:textId="77777777" w:rsidR="00D7021F" w:rsidRDefault="004A3E24" w:rsidP="00384C7F">
            <w:pPr>
              <w:pStyle w:val="af0"/>
              <w:tabs>
                <w:tab w:val="left" w:pos="206"/>
              </w:tabs>
              <w:snapToGrid w:val="0"/>
              <w:ind w:left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контрольных показателей финансово-хозяйственной деятельности Фонда в качестве центра поддержки предпринимательства для целей соблюдения требований устанавливаемых Приказом Минэкономразвития России от 14.03.2019 № 125.</w:t>
            </w:r>
          </w:p>
          <w:p w14:paraId="6261E9B0" w14:textId="77777777" w:rsidR="00D7021F" w:rsidRDefault="00D7021F">
            <w:pPr>
              <w:tabs>
                <w:tab w:val="left" w:pos="206"/>
              </w:tabs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D7021F" w14:paraId="3D893EAE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62C05" w14:textId="621FE87B" w:rsidR="00D7021F" w:rsidRDefault="004A3E24">
            <w:pPr>
              <w:snapToGrid w:val="0"/>
              <w:jc w:val="both"/>
              <w:rPr>
                <w:color w:val="00206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C12BC">
              <w:rPr>
                <w:sz w:val="20"/>
                <w:szCs w:val="20"/>
              </w:rPr>
              <w:t>7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383BF" w14:textId="77777777" w:rsidR="00D7021F" w:rsidRDefault="004A3E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Проверка правильности учета Фонда в рамках осуществления функций центра поддержки экспорта (Приказ Минэкономразвития России от 25.09.2019 № 594)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21E9C" w14:textId="77777777" w:rsidR="00D7021F" w:rsidRDefault="00D7021F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39EA" w14:textId="182D28D8" w:rsidR="00D7021F" w:rsidRDefault="004A3E24">
            <w:pPr>
              <w:pStyle w:val="af0"/>
              <w:numPr>
                <w:ilvl w:val="0"/>
                <w:numId w:val="19"/>
              </w:numPr>
              <w:tabs>
                <w:tab w:val="left" w:pos="206"/>
              </w:tabs>
              <w:snapToGrid w:val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операций по привлечению средств федерального бюджета и средств регионального бюджета;</w:t>
            </w:r>
          </w:p>
          <w:p w14:paraId="48938792" w14:textId="7F78F67C" w:rsidR="00D7021F" w:rsidRDefault="004A3E24">
            <w:pPr>
              <w:pStyle w:val="af0"/>
              <w:numPr>
                <w:ilvl w:val="0"/>
                <w:numId w:val="19"/>
              </w:numPr>
              <w:tabs>
                <w:tab w:val="left" w:pos="206"/>
              </w:tabs>
              <w:snapToGrid w:val="0"/>
              <w:ind w:left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операций по отражению и движению лимитов денежных средств в рамках утвержденной сметы Центра поддержки экспорта (с учетом вносимых в течение финансового года изменений), в т.ч. лимита по статьям затрат, распределенных за счет финансирования регионального бюджета, лимита по статьям затрат, распределенных за счет финансирования федерального бюджета;</w:t>
            </w:r>
          </w:p>
          <w:p w14:paraId="5EC4C367" w14:textId="29EBB7FE" w:rsidR="00D7021F" w:rsidRDefault="004A3E24">
            <w:pPr>
              <w:tabs>
                <w:tab w:val="left" w:pos="206"/>
              </w:tabs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контрольных показателей финансово-хозяйственной деятельности Фонда в качестве центра поддержки экспорта для целей соблюдения требований устанавливаемых Приказом Минэкономразвития России от 25.09.2019№ 594</w:t>
            </w:r>
          </w:p>
        </w:tc>
      </w:tr>
      <w:tr w:rsidR="00D7021F" w14:paraId="75006F99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66124" w14:textId="4D6620A0" w:rsidR="00D7021F" w:rsidRDefault="004A3E24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9C12BC">
              <w:rPr>
                <w:sz w:val="20"/>
                <w:szCs w:val="20"/>
              </w:rPr>
              <w:t>8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98A4E" w14:textId="77777777" w:rsidR="00D7021F" w:rsidRDefault="004A3E2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Проверка правильности учета Фонда в рамках осуществления функций центра компетенций в сфере сельскохозяйственной кооперации и поддержки фермеров (Приказ Минсельхоза России от 28.01.2020 № 26)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B9F37" w14:textId="77777777" w:rsidR="00D7021F" w:rsidRDefault="00D7021F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C264" w14:textId="38E38A9A" w:rsidR="00D7021F" w:rsidRDefault="004A3E24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операций по привлечению средств федерального бюджета и средств регионального бюджета;</w:t>
            </w:r>
          </w:p>
          <w:p w14:paraId="0A096620" w14:textId="068A52B1" w:rsidR="00D7021F" w:rsidRDefault="004A3E24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операций по отражению и движению лимитов денежных средств в рамках утвержденной сметы Центра поддержки экспорта (с учетом вносимых в течение финансового года изменений), в т.ч. лимита по статьям затрат, распределенных за счет финансирования регионального бюджета, лимита по статьям затрат, распределенных за счет финансирования федерального бюджета;</w:t>
            </w:r>
          </w:p>
          <w:p w14:paraId="259F8D67" w14:textId="3AE72374" w:rsidR="00D7021F" w:rsidRDefault="004A3E24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Ведение учета контрольных показателей финансово-хозяйственной деятельности Фонда в качестве центра компетенций в сфере сельскохозяйственной кооперации и поддержки фермеров (Приказ Минсельхоза России от 28.01.2020 № 26)</w:t>
            </w:r>
          </w:p>
        </w:tc>
      </w:tr>
      <w:tr w:rsidR="00D7021F" w14:paraId="145A0BB1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62FDA" w14:textId="56FAB1D2" w:rsidR="00D7021F" w:rsidRDefault="009C12B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68DFE" w14:textId="77777777" w:rsidR="00D7021F" w:rsidRDefault="004A3E24">
            <w:pPr>
              <w:rPr>
                <w:rFonts w:cs="Times New Roman"/>
                <w:b/>
                <w:sz w:val="20"/>
                <w:szCs w:val="20"/>
                <w:highlight w:val="yellow"/>
              </w:rPr>
            </w:pPr>
            <w:r>
              <w:rPr>
                <w:rStyle w:val="91"/>
                <w:b w:val="0"/>
                <w:color w:val="auto"/>
                <w:sz w:val="20"/>
                <w:szCs w:val="20"/>
              </w:rPr>
              <w:t>Аудит учета и использование средств целевого финансирования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23445" w14:textId="77777777" w:rsidR="00D7021F" w:rsidRDefault="00D7021F">
            <w:pPr>
              <w:snapToGrid w:val="0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2397" w14:textId="72C89E49" w:rsidR="00D7021F" w:rsidRDefault="004A3E24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Анализ порядка организации аналитического учета целевых поступлений по назначению средств, а также в разрезе источников поступлений</w:t>
            </w:r>
            <w:r w:rsidR="00384C7F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;</w:t>
            </w:r>
          </w:p>
          <w:p w14:paraId="712E409A" w14:textId="1BC4EA10" w:rsidR="00D7021F" w:rsidRDefault="004A3E24">
            <w:pPr>
              <w:pStyle w:val="6"/>
              <w:shd w:val="clear" w:color="auto" w:fill="auto"/>
              <w:tabs>
                <w:tab w:val="left" w:pos="81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Проверка правильности и своевременности отражения в бухгалтерском учете хозяйственных операций, связанных с целевым финансированием</w:t>
            </w:r>
            <w:r w:rsidR="00384C7F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;</w:t>
            </w:r>
          </w:p>
          <w:p w14:paraId="167151C1" w14:textId="77777777" w:rsidR="00D7021F" w:rsidRDefault="004A3E24">
            <w:pPr>
              <w:pStyle w:val="af0"/>
              <w:snapToGrid w:val="0"/>
              <w:ind w:left="0"/>
              <w:jc w:val="both"/>
              <w:rPr>
                <w:rFonts w:cs="Times New Roman"/>
                <w:sz w:val="22"/>
                <w:szCs w:val="22"/>
                <w:highlight w:val="yellow"/>
              </w:rPr>
            </w:pPr>
            <w:r>
              <w:rPr>
                <w:rStyle w:val="91"/>
                <w:rFonts w:cs="Times New Roman"/>
                <w:b w:val="0"/>
                <w:color w:val="auto"/>
                <w:sz w:val="20"/>
                <w:szCs w:val="20"/>
              </w:rPr>
              <w:t xml:space="preserve">Проверка своевременности признания в качестве доходов средств целевого финансирования при не целевом их использовании. </w:t>
            </w:r>
          </w:p>
        </w:tc>
      </w:tr>
      <w:tr w:rsidR="00744357" w:rsidRPr="00405050" w14:paraId="53B36679" w14:textId="77777777" w:rsidTr="009A20C3"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8D4C703" w14:textId="340C5C94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  <w:r w:rsidRPr="00405050">
              <w:rPr>
                <w:sz w:val="20"/>
                <w:szCs w:val="20"/>
              </w:rPr>
              <w:t>20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5E39336" w14:textId="28C1D035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b w:val="0"/>
                <w:color w:val="auto"/>
                <w:sz w:val="20"/>
                <w:szCs w:val="20"/>
              </w:rPr>
              <w:t>Проверка Программы деятельности РГО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6933F49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7DA1" w14:textId="739A8A3F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Проверка Программы деятельности РГО на актуальность, на срок ее действия.</w:t>
            </w:r>
          </w:p>
        </w:tc>
      </w:tr>
      <w:tr w:rsidR="00744357" w:rsidRPr="00405050" w14:paraId="6FFC182D" w14:textId="77777777" w:rsidTr="009A20C3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4F3F93EA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551A61CE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702707F4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1FF7" w14:textId="1B3EF247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Проверка соответствия Программы деятельности РГО общим целям Национальной гарантийной системы поддержки малого и среднего предпринимательства.</w:t>
            </w:r>
          </w:p>
        </w:tc>
      </w:tr>
      <w:tr w:rsidR="00744357" w:rsidRPr="00405050" w14:paraId="4B52904E" w14:textId="77777777" w:rsidTr="009A20C3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40C8AF0E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6DF073F1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3C9CC5CF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6758" w14:textId="02644F5C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Проверка на наличие в Программе деятельности РГО ключевых, в том числе количественных, показателей деятельности РГО на каждый год.</w:t>
            </w:r>
          </w:p>
        </w:tc>
      </w:tr>
      <w:tr w:rsidR="00744357" w:rsidRPr="00405050" w14:paraId="64C60774" w14:textId="77777777" w:rsidTr="009A20C3"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976EB69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231E447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F0F360E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B51E" w14:textId="0B063688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Проверка на наличие в Программе деятельности РГО мероприятий по достижению ключевых, в том числе количественных, показателей деятельности РГО.</w:t>
            </w:r>
          </w:p>
        </w:tc>
      </w:tr>
      <w:tr w:rsidR="00A75901" w:rsidRPr="00405050" w14:paraId="6BE2DF5B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E0799" w14:textId="1184F644" w:rsidR="00A75901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  <w:r w:rsidRPr="00405050">
              <w:rPr>
                <w:sz w:val="20"/>
                <w:szCs w:val="20"/>
              </w:rPr>
              <w:t>21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64383" w14:textId="5C1D09AB" w:rsidR="00A75901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cs="Times New Roman"/>
                <w:b w:val="0"/>
                <w:color w:val="auto"/>
                <w:sz w:val="20"/>
                <w:szCs w:val="20"/>
              </w:rPr>
              <w:t>Проверка факта формирования ежегодного отчета о степени реализации Программы деятельности РГО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8C4A4" w14:textId="77777777" w:rsidR="00A75901" w:rsidRPr="00405050" w:rsidRDefault="00A7590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AF6F" w14:textId="6AB3CA88" w:rsidR="00A75901" w:rsidRPr="00405050" w:rsidRDefault="00A75901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Проверка факта формирования ежегодного отчета о степени реализации Программы деятельности РГО.</w:t>
            </w:r>
          </w:p>
        </w:tc>
      </w:tr>
      <w:tr w:rsidR="00744357" w:rsidRPr="00405050" w14:paraId="75AE6256" w14:textId="77777777" w:rsidTr="00AA1A4D"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99FA270" w14:textId="4D98E581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  <w:r w:rsidRPr="00405050">
              <w:rPr>
                <w:sz w:val="20"/>
                <w:szCs w:val="20"/>
              </w:rPr>
              <w:t>22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C27909B" w14:textId="7FD1660F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b w:val="0"/>
                <w:color w:val="auto"/>
                <w:sz w:val="20"/>
                <w:szCs w:val="20"/>
              </w:rPr>
              <w:t>Проверка ВНД РГО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4E37622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B883" w14:textId="12206624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Проверка наличия во внутренних нормативных документах РГО требований к субъектам малого и среднего предпринимательства, соответствующих требованиям законодательства Российской Федерации.</w:t>
            </w:r>
          </w:p>
        </w:tc>
      </w:tr>
      <w:tr w:rsidR="00744357" w:rsidRPr="00405050" w14:paraId="4FD3FB2A" w14:textId="77777777" w:rsidTr="00AA1A4D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3DFF7B0C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0D20544D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2C4ED8C1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223A" w14:textId="03A7E22C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Проверка наличия во внутренних нормативных документах РГО порядка включения/исключения кредитных и финансовых организаций из списка партнеров.</w:t>
            </w:r>
          </w:p>
        </w:tc>
      </w:tr>
      <w:tr w:rsidR="00744357" w:rsidRPr="00405050" w14:paraId="1EA39BED" w14:textId="77777777" w:rsidTr="00AA1A4D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125749E9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39BB2658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5BBAC85F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CC84" w14:textId="658EB5B0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Проверка наличия во внутренних нормативных документах РГО порядка расчета лимитов риска по поручительствам.</w:t>
            </w:r>
          </w:p>
        </w:tc>
      </w:tr>
      <w:tr w:rsidR="00744357" w:rsidRPr="00405050" w14:paraId="30BF9C4E" w14:textId="77777777" w:rsidTr="00AA1A4D"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5A1A0E1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4A579AF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B39ECE9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ABA4" w14:textId="3A82DCC3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Проверка наличия внутреннего нормативного документа, регламентирующего порядок взыскания проблемной задолженности.</w:t>
            </w:r>
          </w:p>
        </w:tc>
      </w:tr>
      <w:tr w:rsidR="00A75901" w:rsidRPr="00405050" w14:paraId="1DA6DE2F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8D8E4" w14:textId="73D6A269" w:rsidR="00A75901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  <w:r w:rsidRPr="00405050">
              <w:rPr>
                <w:sz w:val="20"/>
                <w:szCs w:val="20"/>
              </w:rPr>
              <w:t>23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55DF3" w14:textId="554CA783" w:rsidR="00A75901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cs="Times New Roman"/>
                <w:b w:val="0"/>
                <w:color w:val="auto"/>
                <w:sz w:val="20"/>
                <w:szCs w:val="20"/>
              </w:rPr>
              <w:t>Проверка наличия подразделения и (или) сотрудника, осуществляющего в РГО   анализ кредитных рисков.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1F2D2" w14:textId="77777777" w:rsidR="00A75901" w:rsidRPr="00405050" w:rsidRDefault="00A75901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16F8" w14:textId="6ABAA078" w:rsidR="00A75901" w:rsidRPr="00405050" w:rsidRDefault="00EA2706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Проверка наличия подразделения и (или) сотрудника, осуществляющего в РГО   анализ кредитных рисков.</w:t>
            </w:r>
          </w:p>
        </w:tc>
      </w:tr>
      <w:tr w:rsidR="00EA2706" w:rsidRPr="00405050" w14:paraId="003297AC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B12E6" w14:textId="6FFCAEAD" w:rsidR="00EA2706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  <w:r w:rsidRPr="00405050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0B627" w14:textId="0BAA4739" w:rsidR="00EA2706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cs="Times New Roman"/>
                <w:b w:val="0"/>
                <w:color w:val="auto"/>
                <w:sz w:val="20"/>
                <w:szCs w:val="20"/>
              </w:rPr>
              <w:t>Проверка наличия автоматизации принятия решений риск-подразделения.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8E3A4" w14:textId="77777777" w:rsidR="00EA2706" w:rsidRPr="00405050" w:rsidRDefault="00EA270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CC97" w14:textId="5ADEA843" w:rsidR="00EA2706" w:rsidRPr="00405050" w:rsidRDefault="00EA2706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Проверка наличия автоматизации принятия решений риск-подразделения.</w:t>
            </w:r>
          </w:p>
        </w:tc>
      </w:tr>
      <w:tr w:rsidR="00EA2706" w:rsidRPr="00405050" w14:paraId="33D90096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15AA8" w14:textId="45E95E98" w:rsidR="00EA2706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  <w:r w:rsidRPr="00405050">
              <w:rPr>
                <w:sz w:val="20"/>
                <w:szCs w:val="20"/>
              </w:rPr>
              <w:t>25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FA936" w14:textId="1207760B" w:rsidR="00EA2706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cs="Times New Roman"/>
                <w:b w:val="0"/>
                <w:color w:val="auto"/>
                <w:sz w:val="20"/>
                <w:szCs w:val="20"/>
              </w:rPr>
              <w:t>Сверка среднесписочной численности работников РГО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B5E1A" w14:textId="77777777" w:rsidR="00EA2706" w:rsidRPr="00405050" w:rsidRDefault="00EA270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CAFC" w14:textId="448AD481" w:rsidR="00EA2706" w:rsidRPr="00405050" w:rsidRDefault="00EA2706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среднесписочной численности работников РГО со сведениями, представленными в рамках расчета по страховым взносам (форма КНД 1151111).</w:t>
            </w:r>
          </w:p>
        </w:tc>
      </w:tr>
      <w:tr w:rsidR="00744357" w:rsidRPr="00405050" w14:paraId="777B4628" w14:textId="77777777" w:rsidTr="00F94ED6"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6F84892" w14:textId="2CFF15EC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  <w:r w:rsidRPr="00405050">
              <w:rPr>
                <w:sz w:val="20"/>
                <w:szCs w:val="20"/>
              </w:rPr>
              <w:t>26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E04C6DB" w14:textId="796EEDD6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b w:val="0"/>
                <w:color w:val="auto"/>
                <w:sz w:val="20"/>
                <w:szCs w:val="20"/>
              </w:rPr>
              <w:t>Сверка информации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4D93C7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196E" w14:textId="7511D3DF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количестве выданных поручительств и (или) независимых гарантий платежах,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7958E3D1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4F3F6B62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4F077C5F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6D3B2652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0184" w14:textId="4D8E4FDE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действующем количестве поручительств и (или) независимых гарантий на конец отчетного периода,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7FA17506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6228B1F9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4E4090C5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1DFEC450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F65F" w14:textId="1F1339EF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количестве клиентов (уникальных), получивших поручительство и (или) независимую гарантию за период,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039DD895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70135133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301F12A1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331A8321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5E42" w14:textId="76A32C94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об объемах действующих договоров поручительств и (или) независимых гарантий на 31.12.2025 года,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26F82587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598A6DFF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2EAAAD60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64C9F844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31FA" w14:textId="18B83E14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концентрации портфеля поручительств и (или) независимых гарантий на одного субъекта МСП или организацию, образующую инфраструктуру поддержки субъектов МСП,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6AA6F7A3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18C4807D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45820A16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28C9BD31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DA6A" w14:textId="719A07CD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концентрации портфеля поручительств и (или) независимых гарантий на ТОП-10 субъектов МСП и организаций инфраструктуры,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5BF661CC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22770DF8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4C5FB032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0DF7447C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061D" w14:textId="78825C30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портфеле поручительств и (или) независимых гарантий по субъектам МСП, относящимся к разным категориям (микропредприятиям, малым предприятиям (за исключением микропредприятий), средним предприятиям и (или) организациям инфраструктуры),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387DA327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12E8BC2A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05875D2B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350E0028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C795" w14:textId="449B7E6D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Сверка информации о портфеле поручительств и  (или) независимых гарантий, по которому предъявлены требования финансовым организациям (со сроком просроченной задолженности более 90 календарных дней, указанной в Отчете фонда содействия кредитованию (гарантийного фонда, фонда поручительств) в целях </w:t>
            </w: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4514C588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46E8EB1B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70903FC6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68EB8E61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1E65" w14:textId="78CC0AC7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об объемах выданных поручительств и (или) независимых гарантий за отчетный период,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35E947FD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48EADF21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757EBDF7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1A4AA9CA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6401" w14:textId="0D7FF6F7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об объемах финансирования, привлеченного под поручительства и (или) независимые гарантии за отчетный период,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76707F64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517B95A4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0D28A187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6AC96F90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D801" w14:textId="6DB7C981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об объемах исполненных обязательств по поручительствам и (или) независимым гарантиям за отчетный период,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300B2492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54D42825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6A15075A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43C807D3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F45A" w14:textId="1212FE80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финансовых вложениях (по срокам вложения),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21BC004C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3686C2E4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6AEF741A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7F45EA06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EDA1" w14:textId="6DCF81DE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сумме денежных средств, размещенных на расчетных счетах в кредитных организациях, имеющих действующую лицензию Банка России, а также наличных денежных средств, учитываемых в кассе организации,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584D2788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44643009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5293AD99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0677A8BE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328D" w14:textId="4ABB74A5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дебиторской задолженности в части размещения временно свободных денежных средств и требования по субординированным депозитам, за вычетом резервов,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5A0DA4BA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22F28438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4CC71CD4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0DA9CB9B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C3F0" w14:textId="43C959B8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дебиторской задолженности по гарантийной деятельности за вычетом резервов,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4D94279A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58756BE7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2BB9722F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045E32D2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492E" w14:textId="4F595DC7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портфеле требований по иным видам финансовой деятельности за вычетом резервов,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4B108E70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47C01A22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2FB7665D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29DED9B9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632C" w14:textId="526CFAF6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прочих активах,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337EE71F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55353767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759B46A7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60F26582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1B58" w14:textId="7F49FCC8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Сверка информации о долгосрочных и краткосрочных заемных средствах, указанной в Отчете фонда содействия кредитованию (гарантийного фонда, фонда поручительств) в целях ранжирования с присвоением </w:t>
            </w: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ранга в 2025 году данным бухгалтерского учета фонда.</w:t>
            </w:r>
          </w:p>
        </w:tc>
      </w:tr>
      <w:tr w:rsidR="00744357" w:rsidRPr="00405050" w14:paraId="21037BA5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2675562C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7E779B84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4D96065F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4840" w14:textId="67B763EE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стоимости чистых активов,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51C2DD37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1DAB2BDB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4ABE2BE7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7CA7115C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EB76" w14:textId="0CBEC165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прочих пассивах,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0B0ECCAC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3BAD6E88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0776324C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5C744DBF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84CE" w14:textId="700D754D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доходах от предоставления поручительств и (или) независимых гарантий,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7B2D04D2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51CEA372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7F6138C2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4FCB5D57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BDFA" w14:textId="1D4447B8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процентах к получению,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2E067F57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091EE6CD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0188F95A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7ED2B1FB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E48A" w14:textId="474D52C6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доходах от переоценки ценных бумаг,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6437099A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4A4FF429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7856B4A3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315CD910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FA6D" w14:textId="6F390D67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доходах от восстановления резервов и возврату дебиторской задолженности,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4701067E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2E784944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579F73E4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1B2DE8E4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3E5B" w14:textId="0FABC472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прочих доходах,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3216EED4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0C5E4C65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18A56C67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1D3C5741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160E" w14:textId="5D30EE8F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Сверка информации о расходах, связанных </w:t>
            </w:r>
            <w:proofErr w:type="gramStart"/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  привлечение</w:t>
            </w:r>
            <w:proofErr w:type="gramEnd"/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средств в финансовых организациях,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186DBB0A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34D50964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6BD61B04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0FD7528E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CCDA" w14:textId="2E17A71D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расходах от переоценки ценных бумаг,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5CD756DF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44AD1B11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3FF42A00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14FC1F24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5317" w14:textId="00601555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расходах на создание резервом и списанию дебиторской задолженности,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206787A9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4C2C87B8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635F8E76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63E91EEE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770B" w14:textId="652F85B6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об операционных расходах,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38577634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3ECC2DBF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3A03C514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3DAC5367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66AB" w14:textId="6B2CC442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Сверка информации о налоге на прибыль и изменении отложенных налоговых активов и обязательств, указанной </w:t>
            </w: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>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26C58AEC" w14:textId="77777777" w:rsidTr="00F94ED6">
        <w:tc>
          <w:tcPr>
            <w:tcW w:w="1133" w:type="dxa"/>
            <w:vMerge/>
            <w:tcBorders>
              <w:left w:val="single" w:sz="4" w:space="0" w:color="000000"/>
            </w:tcBorders>
          </w:tcPr>
          <w:p w14:paraId="0E5E78B1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</w:tcBorders>
          </w:tcPr>
          <w:p w14:paraId="5948E2EF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</w:tcBorders>
          </w:tcPr>
          <w:p w14:paraId="5C36D359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E615" w14:textId="6F33FCCE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чистой прибыли (убытке),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744357" w:rsidRPr="00405050" w14:paraId="581F2A47" w14:textId="77777777" w:rsidTr="00F94ED6"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6F4AAB" w14:textId="77777777" w:rsidR="00744357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F9027CF" w14:textId="77777777" w:rsidR="00744357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854180D" w14:textId="77777777" w:rsidR="00744357" w:rsidRPr="00405050" w:rsidRDefault="00744357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7B20" w14:textId="7BEEA73F" w:rsidR="00744357" w:rsidRPr="00405050" w:rsidRDefault="00744357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Сверка информации о потерях по размещенным средствам, указанной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  <w:tr w:rsidR="00AA094A" w14:paraId="5B6446CA" w14:textId="77777777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5D3B7" w14:textId="072C7F6B" w:rsidR="00AA094A" w:rsidRPr="00405050" w:rsidRDefault="00744357">
            <w:pPr>
              <w:snapToGrid w:val="0"/>
              <w:jc w:val="both"/>
              <w:rPr>
                <w:sz w:val="20"/>
                <w:szCs w:val="20"/>
              </w:rPr>
            </w:pPr>
            <w:r w:rsidRPr="00405050">
              <w:rPr>
                <w:sz w:val="20"/>
                <w:szCs w:val="20"/>
              </w:rPr>
              <w:t>27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D8DC" w14:textId="18684085" w:rsidR="00AA094A" w:rsidRPr="00405050" w:rsidRDefault="00744357">
            <w:pPr>
              <w:rPr>
                <w:rStyle w:val="91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cs="Times New Roman"/>
                <w:b w:val="0"/>
                <w:color w:val="auto"/>
                <w:sz w:val="20"/>
                <w:szCs w:val="20"/>
              </w:rPr>
              <w:t>Проверка арифметической точности итогов и промежуточных итогов в Отчете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777C3" w14:textId="77777777" w:rsidR="00AA094A" w:rsidRPr="00405050" w:rsidRDefault="00AA094A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802F" w14:textId="2B181CE1" w:rsidR="00AA094A" w:rsidRPr="00405050" w:rsidRDefault="00895100">
            <w:pPr>
              <w:pStyle w:val="6"/>
              <w:shd w:val="clear" w:color="auto" w:fill="auto"/>
              <w:tabs>
                <w:tab w:val="left" w:pos="754"/>
              </w:tabs>
              <w:spacing w:after="0" w:line="240" w:lineRule="auto"/>
              <w:jc w:val="both"/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405050">
              <w:rPr>
                <w:rStyle w:val="91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Проверка арифметической точности итогов и промежуточных итогов в Отчете фонда содействия кредитованию (гарантийного фонда, фонда поручительств) в целях ранжирования с присвоением ранга в 2025 году данным бухгалтерского учета фонда.</w:t>
            </w:r>
          </w:p>
        </w:tc>
      </w:tr>
    </w:tbl>
    <w:p w14:paraId="5D7F5014" w14:textId="77777777" w:rsidR="00D7021F" w:rsidRDefault="00D7021F">
      <w:pPr>
        <w:ind w:firstLine="709"/>
        <w:jc w:val="both"/>
      </w:pPr>
    </w:p>
    <w:p w14:paraId="782FF3BE" w14:textId="77777777" w:rsidR="00D7021F" w:rsidRDefault="004A3E24">
      <w:pPr>
        <w:pStyle w:val="2"/>
        <w:numPr>
          <w:ilvl w:val="0"/>
          <w:numId w:val="0"/>
        </w:numPr>
        <w:tabs>
          <w:tab w:val="clear" w:pos="13608"/>
          <w:tab w:val="left" w:pos="1134"/>
        </w:tabs>
        <w:spacing w:before="0" w:after="0"/>
        <w:ind w:firstLine="709"/>
        <w:jc w:val="center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3. Результаты оказания услуг</w:t>
      </w:r>
    </w:p>
    <w:p w14:paraId="62A6B01D" w14:textId="77777777" w:rsidR="00D7021F" w:rsidRDefault="00D7021F">
      <w:pPr>
        <w:rPr>
          <w:sz w:val="20"/>
          <w:szCs w:val="20"/>
        </w:rPr>
      </w:pPr>
    </w:p>
    <w:p w14:paraId="2FBF3E8C" w14:textId="77777777" w:rsidR="00D7021F" w:rsidRDefault="004A3E24">
      <w:pPr>
        <w:pStyle w:val="af"/>
        <w:tabs>
          <w:tab w:val="clear" w:pos="13608"/>
          <w:tab w:val="left" w:pos="0"/>
          <w:tab w:val="left" w:pos="1134"/>
        </w:tabs>
        <w:spacing w:line="240" w:lineRule="auto"/>
        <w:ind w:left="0" w:firstLine="709"/>
        <w:rPr>
          <w:sz w:val="20"/>
        </w:rPr>
      </w:pPr>
      <w:r>
        <w:rPr>
          <w:sz w:val="20"/>
        </w:rPr>
        <w:t xml:space="preserve">Результаты проведенного аудита оформляются в форме аудиторского заключения, оформленного в соответствии с требованиями действующего законодательства, а также аудиторского отчета (на бумажном и электронном носителях), содержащего информацию о решении каждой из задач и подзадач раздела 2 настоящего Технического задания с обоснованными выводами и предложениями по каждой задаче и подзадаче. </w:t>
      </w:r>
    </w:p>
    <w:p w14:paraId="56CF5DEB" w14:textId="77777777" w:rsidR="00D7021F" w:rsidRDefault="004A3E24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Форма, содержание и порядок представления аудиторского заключения определяются действующим законодательством.</w:t>
      </w:r>
    </w:p>
    <w:p w14:paraId="6C52F123" w14:textId="77777777" w:rsidR="00D7021F" w:rsidRDefault="00D7021F"/>
    <w:sectPr w:rsidR="00D702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BCA" w14:textId="77777777" w:rsidR="00945E89" w:rsidRDefault="00945E89">
      <w:r>
        <w:separator/>
      </w:r>
    </w:p>
  </w:endnote>
  <w:endnote w:type="continuationSeparator" w:id="0">
    <w:p w14:paraId="627D0F9B" w14:textId="77777777" w:rsidR="00945E89" w:rsidRDefault="0094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FF9D" w14:textId="77777777" w:rsidR="00945E89" w:rsidRDefault="00945E89">
      <w:r>
        <w:separator/>
      </w:r>
    </w:p>
  </w:footnote>
  <w:footnote w:type="continuationSeparator" w:id="0">
    <w:p w14:paraId="46B0E8CF" w14:textId="77777777" w:rsidR="00945E89" w:rsidRDefault="0094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885"/>
        </w:tabs>
        <w:ind w:left="885" w:hanging="525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1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2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4" w15:restartNumberingAfterBreak="0">
    <w:nsid w:val="00000011"/>
    <w:multiLevelType w:val="singleLevel"/>
    <w:tmpl w:val="0000001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5" w15:restartNumberingAfterBreak="0">
    <w:nsid w:val="00000012"/>
    <w:multiLevelType w:val="singleLevel"/>
    <w:tmpl w:val="0000001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6" w15:restartNumberingAfterBreak="0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Arial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 w15:restartNumberingAfterBreak="0">
    <w:nsid w:val="030F7790"/>
    <w:multiLevelType w:val="multilevel"/>
    <w:tmpl w:val="030F77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148C0"/>
    <w:multiLevelType w:val="multilevel"/>
    <w:tmpl w:val="3F5148C0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D690C"/>
    <w:multiLevelType w:val="multilevel"/>
    <w:tmpl w:val="7744E94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</w:rPr>
    </w:lvl>
  </w:abstractNum>
  <w:num w:numId="1" w16cid:durableId="1984432155">
    <w:abstractNumId w:val="0"/>
  </w:num>
  <w:num w:numId="2" w16cid:durableId="371269587">
    <w:abstractNumId w:val="2"/>
  </w:num>
  <w:num w:numId="3" w16cid:durableId="1939287348">
    <w:abstractNumId w:val="3"/>
  </w:num>
  <w:num w:numId="4" w16cid:durableId="713194619">
    <w:abstractNumId w:val="7"/>
  </w:num>
  <w:num w:numId="5" w16cid:durableId="1190534438">
    <w:abstractNumId w:val="4"/>
  </w:num>
  <w:num w:numId="6" w16cid:durableId="196814041">
    <w:abstractNumId w:val="5"/>
  </w:num>
  <w:num w:numId="7" w16cid:durableId="1049912276">
    <w:abstractNumId w:val="6"/>
  </w:num>
  <w:num w:numId="8" w16cid:durableId="710375002">
    <w:abstractNumId w:val="17"/>
  </w:num>
  <w:num w:numId="9" w16cid:durableId="2039240091">
    <w:abstractNumId w:val="8"/>
  </w:num>
  <w:num w:numId="10" w16cid:durableId="897519810">
    <w:abstractNumId w:val="9"/>
  </w:num>
  <w:num w:numId="11" w16cid:durableId="673579256">
    <w:abstractNumId w:val="10"/>
  </w:num>
  <w:num w:numId="12" w16cid:durableId="1621841053">
    <w:abstractNumId w:val="11"/>
  </w:num>
  <w:num w:numId="13" w16cid:durableId="1374623665">
    <w:abstractNumId w:val="12"/>
  </w:num>
  <w:num w:numId="14" w16cid:durableId="682367441">
    <w:abstractNumId w:val="1"/>
  </w:num>
  <w:num w:numId="15" w16cid:durableId="452479207">
    <w:abstractNumId w:val="13"/>
  </w:num>
  <w:num w:numId="16" w16cid:durableId="2105764887">
    <w:abstractNumId w:val="14"/>
  </w:num>
  <w:num w:numId="17" w16cid:durableId="1043556720">
    <w:abstractNumId w:val="15"/>
  </w:num>
  <w:num w:numId="18" w16cid:durableId="1799765149">
    <w:abstractNumId w:val="16"/>
  </w:num>
  <w:num w:numId="19" w16cid:durableId="376129215">
    <w:abstractNumId w:val="18"/>
  </w:num>
  <w:num w:numId="20" w16cid:durableId="1835143137">
    <w:abstractNumId w:val="20"/>
  </w:num>
  <w:num w:numId="21" w16cid:durableId="18399960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50"/>
    <w:rsid w:val="0009406A"/>
    <w:rsid w:val="000B09D2"/>
    <w:rsid w:val="000E69DD"/>
    <w:rsid w:val="00135330"/>
    <w:rsid w:val="00155419"/>
    <w:rsid w:val="00175ED8"/>
    <w:rsid w:val="0021552E"/>
    <w:rsid w:val="002635A2"/>
    <w:rsid w:val="002C674B"/>
    <w:rsid w:val="002E0D0F"/>
    <w:rsid w:val="002E0DF4"/>
    <w:rsid w:val="00373850"/>
    <w:rsid w:val="00382A37"/>
    <w:rsid w:val="00384C7F"/>
    <w:rsid w:val="003963E1"/>
    <w:rsid w:val="003D4FE4"/>
    <w:rsid w:val="00405050"/>
    <w:rsid w:val="00453684"/>
    <w:rsid w:val="004563C9"/>
    <w:rsid w:val="00497110"/>
    <w:rsid w:val="004A3E24"/>
    <w:rsid w:val="00506CF0"/>
    <w:rsid w:val="005A2CDB"/>
    <w:rsid w:val="005D3B28"/>
    <w:rsid w:val="00617650"/>
    <w:rsid w:val="00630432"/>
    <w:rsid w:val="00675973"/>
    <w:rsid w:val="006B432C"/>
    <w:rsid w:val="006E4A91"/>
    <w:rsid w:val="0074419B"/>
    <w:rsid w:val="00744357"/>
    <w:rsid w:val="00795577"/>
    <w:rsid w:val="00805885"/>
    <w:rsid w:val="008235BC"/>
    <w:rsid w:val="008536CA"/>
    <w:rsid w:val="00873ACA"/>
    <w:rsid w:val="00895100"/>
    <w:rsid w:val="009248A3"/>
    <w:rsid w:val="00942922"/>
    <w:rsid w:val="00945E89"/>
    <w:rsid w:val="009C12BC"/>
    <w:rsid w:val="009D6369"/>
    <w:rsid w:val="00A75901"/>
    <w:rsid w:val="00AA094A"/>
    <w:rsid w:val="00AB66A8"/>
    <w:rsid w:val="00AF3908"/>
    <w:rsid w:val="00AF41CB"/>
    <w:rsid w:val="00B8276D"/>
    <w:rsid w:val="00BE32DE"/>
    <w:rsid w:val="00C16993"/>
    <w:rsid w:val="00C3288C"/>
    <w:rsid w:val="00C56F93"/>
    <w:rsid w:val="00C76807"/>
    <w:rsid w:val="00C80F22"/>
    <w:rsid w:val="00CF2675"/>
    <w:rsid w:val="00D01E5E"/>
    <w:rsid w:val="00D7021F"/>
    <w:rsid w:val="00D82A37"/>
    <w:rsid w:val="00DF07B1"/>
    <w:rsid w:val="00E04CF3"/>
    <w:rsid w:val="00E2584F"/>
    <w:rsid w:val="00EA2706"/>
    <w:rsid w:val="00FB3E8B"/>
    <w:rsid w:val="421E44F4"/>
    <w:rsid w:val="4BC2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2342"/>
  <w15:docId w15:val="{B08DFAB4-E1F2-4A35-B100-C2A96429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Arial"/>
      <w:sz w:val="24"/>
      <w:szCs w:val="16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ind w:left="4820" w:firstLine="0"/>
      <w:outlineLvl w:val="0"/>
    </w:pPr>
    <w:rPr>
      <w:rFonts w:ascii="Arial" w:hAnsi="Arial" w:cs="Times New Roman"/>
      <w:b/>
      <w:sz w:val="1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13608"/>
      </w:tabs>
      <w:spacing w:before="240" w:after="60"/>
      <w:ind w:left="1134" w:hanging="1134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paragraph" w:styleId="aa">
    <w:name w:val="Title"/>
    <w:basedOn w:val="a"/>
    <w:next w:val="ab"/>
    <w:link w:val="ac"/>
    <w:qFormat/>
    <w:pPr>
      <w:jc w:val="center"/>
    </w:pPr>
    <w:rPr>
      <w:rFonts w:cs="Times New Roman"/>
      <w:b/>
      <w:sz w:val="22"/>
      <w:szCs w:val="20"/>
    </w:rPr>
  </w:style>
  <w:style w:type="paragraph" w:styleId="ab">
    <w:name w:val="Subtitle"/>
    <w:basedOn w:val="a"/>
    <w:next w:val="a"/>
    <w:link w:val="a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e">
    <w:name w:val="Normal (Web)"/>
    <w:basedOn w:val="a"/>
    <w:qFormat/>
    <w:pPr>
      <w:spacing w:before="150"/>
    </w:pPr>
    <w:rPr>
      <w:rFonts w:ascii="Arial Unicode MS" w:eastAsia="Arial Unicode MS" w:hAnsi="Arial Unicode MS" w:cs="Arial Unicode MS"/>
      <w:szCs w:val="24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sz w:val="18"/>
      <w:szCs w:val="20"/>
      <w:lang w:eastAsia="ar-SA"/>
    </w:rPr>
  </w:style>
  <w:style w:type="character" w:customStyle="1" w:styleId="20">
    <w:name w:val="Заголовок 2 Знак"/>
    <w:basedOn w:val="a0"/>
    <w:link w:val="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Normal">
    <w:name w:val="ConsNormal"/>
    <w:qFormat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character" w:customStyle="1" w:styleId="ac">
    <w:name w:val="Заголовок Знак"/>
    <w:basedOn w:val="a0"/>
    <w:link w:val="aa"/>
    <w:qFormat/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af">
    <w:name w:val="Пункт"/>
    <w:basedOn w:val="a"/>
    <w:qFormat/>
    <w:pPr>
      <w:tabs>
        <w:tab w:val="left" w:pos="13608"/>
      </w:tabs>
      <w:spacing w:line="360" w:lineRule="auto"/>
      <w:ind w:left="1134" w:hanging="1134"/>
      <w:jc w:val="both"/>
    </w:pPr>
    <w:rPr>
      <w:rFonts w:cs="Times New Roman"/>
      <w:sz w:val="28"/>
      <w:szCs w:val="20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91">
    <w:name w:val="Основной текст + 91"/>
    <w:basedOn w:val="a0"/>
    <w:uiPriority w:val="99"/>
    <w:qFormat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af1">
    <w:name w:val="Основной текст_"/>
    <w:basedOn w:val="a0"/>
    <w:link w:val="6"/>
    <w:uiPriority w:val="99"/>
    <w:qFormat/>
    <w:locked/>
    <w:rPr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f1"/>
    <w:uiPriority w:val="99"/>
    <w:qFormat/>
    <w:pPr>
      <w:widowControl w:val="0"/>
      <w:shd w:val="clear" w:color="auto" w:fill="FFFFFF"/>
      <w:suppressAutoHyphens w:val="0"/>
      <w:spacing w:after="600" w:line="317" w:lineRule="exac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Times New Roman" w:eastAsia="Times New Roman" w:hAnsi="Times New Roman" w:cs="Arial"/>
      <w:sz w:val="20"/>
      <w:szCs w:val="20"/>
      <w:lang w:eastAsia="ar-SA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rFonts w:ascii="Times New Roman" w:eastAsia="Times New Roman" w:hAnsi="Times New Roman" w:cs="Arial"/>
      <w:b/>
      <w:bCs/>
      <w:sz w:val="20"/>
      <w:szCs w:val="2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4191</Words>
  <Characters>23889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porokhnya-aa</dc:creator>
  <cp:lastModifiedBy>Татьяна Анатольевна Стебунова</cp:lastModifiedBy>
  <cp:revision>8</cp:revision>
  <cp:lastPrinted>2021-01-10T22:11:00Z</cp:lastPrinted>
  <dcterms:created xsi:type="dcterms:W3CDTF">2025-10-29T02:28:00Z</dcterms:created>
  <dcterms:modified xsi:type="dcterms:W3CDTF">2025-11-05T06:50:00Z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71189E7DF5224DA98F987A1B1884E813_12</vt:lpwstr>
  </property>
</Properties>
</file>