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9114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 ЗАДАНИЕ </w:t>
      </w:r>
    </w:p>
    <w:p w14:paraId="0429782C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45F3E389" w14:textId="77777777" w:rsidR="002635A2" w:rsidRDefault="002635A2" w:rsidP="002635A2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201</w:t>
      </w:r>
      <w:r w:rsidR="00506CF0">
        <w:rPr>
          <w:bCs/>
          <w:color w:val="000000"/>
          <w:sz w:val="20"/>
        </w:rPr>
        <w:t>8</w:t>
      </w:r>
      <w:r>
        <w:rPr>
          <w:bCs/>
          <w:color w:val="000000"/>
          <w:sz w:val="20"/>
        </w:rPr>
        <w:t xml:space="preserve"> год</w:t>
      </w:r>
    </w:p>
    <w:p w14:paraId="386CD769" w14:textId="77777777" w:rsidR="002635A2" w:rsidRDefault="002635A2" w:rsidP="002635A2">
      <w:pPr>
        <w:pStyle w:val="a3"/>
        <w:ind w:firstLine="709"/>
        <w:rPr>
          <w:bCs/>
          <w:sz w:val="20"/>
        </w:rPr>
      </w:pPr>
    </w:p>
    <w:p w14:paraId="4290AC6A" w14:textId="77777777" w:rsidR="002635A2" w:rsidRDefault="002635A2" w:rsidP="002635A2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14:paraId="43332D1C" w14:textId="77777777" w:rsidR="002635A2" w:rsidRDefault="002635A2" w:rsidP="002635A2">
      <w:pPr>
        <w:rPr>
          <w:sz w:val="20"/>
          <w:szCs w:val="20"/>
        </w:rPr>
      </w:pPr>
    </w:p>
    <w:p w14:paraId="1D565368" w14:textId="5616E2BF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6CF0">
        <w:rPr>
          <w:rFonts w:ascii="Times New Roman" w:hAnsi="Times New Roman" w:cs="Times New Roman"/>
          <w:color w:val="000000"/>
          <w:sz w:val="20"/>
          <w:szCs w:val="20"/>
        </w:rPr>
        <w:t>за период 01 января  201</w:t>
      </w:r>
      <w:r w:rsidR="00506CF0" w:rsidRPr="00506CF0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по 31 декабря 201</w:t>
      </w:r>
      <w:r w:rsidR="00506CF0" w:rsidRPr="00630432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разработано в соответствии Федеральным законом от 30 декабря  2008 г. № 307-ФЗ «Об аудиторской деятельности»</w:t>
      </w:r>
      <w:r w:rsidR="008235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  <w:proofErr w:type="gramEnd"/>
    </w:p>
    <w:p w14:paraId="13CA7428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D6DEEC" w14:textId="77777777" w:rsidR="002635A2" w:rsidRDefault="002635A2" w:rsidP="002635A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соответствии порядка ведения бухгалтерского учета законодательству Российской Федерации, выражение мнения о финансово-экономическом состоянии.   </w:t>
      </w:r>
    </w:p>
    <w:p w14:paraId="4632ED02" w14:textId="77777777" w:rsidR="002635A2" w:rsidRDefault="002635A2" w:rsidP="002635A2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14:paraId="2ABB476F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аудита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 проводит аудит финансовой (бухгалтерской) отчетности за отчетный финансовый 201</w:t>
      </w:r>
      <w:r w:rsidR="00630432" w:rsidRPr="00630432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6DB041C4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7F13E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33"/>
        <w:gridCol w:w="2137"/>
        <w:gridCol w:w="1725"/>
        <w:gridCol w:w="5235"/>
      </w:tblGrid>
      <w:tr w:rsidR="002635A2" w14:paraId="378F483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A6E0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6464A090" w14:textId="77777777" w:rsidR="002635A2" w:rsidRDefault="002635A2" w:rsidP="002635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8F35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8C6B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A621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2635A2" w14:paraId="626C0418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FBCA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2264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1E09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1298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5A2" w14:paraId="6D7B32A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F35E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781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14:paraId="4247E174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14:paraId="5AA10711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EE8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1C64" w14:textId="77777777" w:rsidR="002635A2" w:rsidRDefault="002635A2" w:rsidP="002635A2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</w:t>
            </w:r>
          </w:p>
          <w:p w14:paraId="44C216B3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14:paraId="64ED99EE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 приложениях;</w:t>
            </w:r>
          </w:p>
          <w:p w14:paraId="0A37358D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14:paraId="030E1FE5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14:paraId="4FEA341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14:paraId="66DDFE8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2635A2" w14:paraId="13C3055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ED5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79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99B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9D9" w14:textId="77777777" w:rsidR="002635A2" w:rsidRDefault="002635A2" w:rsidP="002635A2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3F0B22EE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14:paraId="2947C7AC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14:paraId="41C3E8B3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2635A2" w14:paraId="00A16DA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1DD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52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законодательству деятельности Фонда по осуществлению услуг связанных с предоставлением займа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608C" w14:textId="77777777" w:rsidR="002635A2" w:rsidRDefault="002635A2" w:rsidP="002635A2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9F1F" w14:textId="77777777" w:rsidR="002635A2" w:rsidRDefault="002635A2" w:rsidP="002635A2">
            <w:pPr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59712DF2" w14:textId="77777777"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14:paraId="65FC73E7" w14:textId="77777777"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и источники финансирования целевой деятельности</w:t>
            </w:r>
            <w:r w:rsidR="00630432" w:rsidRPr="00630432">
              <w:rPr>
                <w:sz w:val="20"/>
                <w:szCs w:val="20"/>
              </w:rPr>
              <w:t xml:space="preserve"> </w:t>
            </w:r>
            <w:r w:rsidR="00630432" w:rsidRPr="00630432">
              <w:rPr>
                <w:color w:val="002060"/>
                <w:sz w:val="20"/>
                <w:szCs w:val="20"/>
              </w:rPr>
              <w:t>(в т.ч. деятельность Фонда в качестве: Региональной гарантийной организации, центра поддержки предпринимательства, регионального института развития экономики в формате «одного окна»)</w:t>
            </w:r>
            <w:r w:rsidRPr="00630432">
              <w:rPr>
                <w:color w:val="002060"/>
                <w:sz w:val="20"/>
                <w:szCs w:val="20"/>
              </w:rPr>
              <w:t xml:space="preserve">; </w:t>
            </w:r>
          </w:p>
          <w:p w14:paraId="20F760B4" w14:textId="77777777"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14:paraId="4D458F90" w14:textId="77777777" w:rsidR="002635A2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ведения раздельного  учета целевых средств полученных из бюджетов и сформированных за счет собственных средств Фонда.</w:t>
            </w:r>
          </w:p>
        </w:tc>
      </w:tr>
      <w:tr w:rsidR="002635A2" w14:paraId="086878D6" w14:textId="77777777" w:rsidTr="002635A2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13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B33D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правильности применения Плана счетов бухгалтерского учета финансово-хозяйственной деятельности.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F6A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9B5F" w14:textId="77777777" w:rsidR="002635A2" w:rsidRDefault="002635A2" w:rsidP="002635A2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применяемых корреспонденций счетов и </w:t>
            </w:r>
            <w:proofErr w:type="spellStart"/>
            <w:r>
              <w:rPr>
                <w:sz w:val="20"/>
                <w:szCs w:val="20"/>
              </w:rPr>
              <w:t>субсчетов</w:t>
            </w:r>
            <w:proofErr w:type="spellEnd"/>
            <w:r>
              <w:rPr>
                <w:sz w:val="20"/>
                <w:szCs w:val="20"/>
              </w:rPr>
              <w:t xml:space="preserve"> бухгалтерского учета хозяйственных операций.</w:t>
            </w:r>
          </w:p>
        </w:tc>
      </w:tr>
      <w:tr w:rsidR="002635A2" w14:paraId="1577D501" w14:textId="77777777" w:rsidTr="002635A2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5DB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E1C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FB1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применения Плана счетов в текущем </w:t>
            </w:r>
            <w:proofErr w:type="spellStart"/>
            <w:r>
              <w:rPr>
                <w:sz w:val="20"/>
                <w:szCs w:val="20"/>
              </w:rPr>
              <w:t>аудируемом</w:t>
            </w:r>
            <w:proofErr w:type="spellEnd"/>
            <w:r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FF1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</w:tr>
      <w:tr w:rsidR="002635A2" w14:paraId="083F642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36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ACD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включения затрат в состав расходов на содержание аппарата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DC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E9A9" w14:textId="77777777" w:rsidR="002635A2" w:rsidRDefault="002635A2" w:rsidP="002635A2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первичных бухгалтерских документов и обоснованности включения затрат  в состав расходов на содержание аппарата Фонда</w:t>
            </w:r>
          </w:p>
          <w:p w14:paraId="2FC3DE99" w14:textId="77777777" w:rsidR="002635A2" w:rsidRDefault="002635A2" w:rsidP="002635A2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2635A2" w14:paraId="1DE40720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9F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E83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59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DD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Сопоставление остатков по счету 50 «Касса» в кассовой книге с балансовыми данными, а затем с регистрами бухгалтерского учета;</w:t>
            </w:r>
          </w:p>
          <w:p w14:paraId="51C481C2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14:paraId="7AB2CAF6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14:paraId="38213741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14:paraId="6D51841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енностей</w:t>
            </w:r>
            <w:proofErr w:type="spell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14:paraId="6B4456A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14:paraId="37BCC31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14:paraId="5F9550C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14:paraId="7E47B83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установленного порядка хранения чековых книжек, выписки из чеков и по ним денег;</w:t>
            </w:r>
          </w:p>
          <w:p w14:paraId="207296A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лимита хранения наличных денег в кассе и выдачи денег в подотчет на командировочные, хозяйственные расходы и другие нужды;</w:t>
            </w:r>
          </w:p>
          <w:p w14:paraId="670A76E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14:paraId="178188B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14:paraId="5F67934C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14:paraId="238AC63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2635A2" w14:paraId="4EAB629A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EDB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954C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410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647" w14:textId="77777777" w:rsidR="002635A2" w:rsidRDefault="002635A2" w:rsidP="002635A2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14:paraId="33480D2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14:paraId="6E2CCC28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проверка правильности выведения остатков на конец дня и подсчета оборотов по приходу и расходу денежных средств в выписках банка и регистрах по учету денежных средств в банке;</w:t>
            </w:r>
          </w:p>
          <w:p w14:paraId="47A10F92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записей в выписках банка и регистрах бухгалтерского учета, регистрах </w:t>
            </w:r>
            <w:r>
              <w:rPr>
                <w:sz w:val="20"/>
                <w:szCs w:val="20"/>
              </w:rPr>
              <w:lastRenderedPageBreak/>
              <w:t>бухгалтерского учета и статей баланса;</w:t>
            </w:r>
          </w:p>
          <w:p w14:paraId="08DF2364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14:paraId="735D748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ведения регистров синтетического учета по каждому расчетному, депозитному счету, открытому в банке, составления сводного регистра;</w:t>
            </w:r>
          </w:p>
          <w:p w14:paraId="634BC6D7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14:paraId="6D180CAE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2635A2" w14:paraId="54AA5D5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D4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34BD8DCC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5F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0E2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412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14:paraId="484CAF4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 правильности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40EC651F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своевременности погашения и правильность отражения на счетах бухгалтерского учета кредиторской задолженности; </w:t>
            </w:r>
          </w:p>
          <w:p w14:paraId="47F0308D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14:paraId="64836657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14:paraId="1FF9FEA2" w14:textId="77777777" w:rsidR="002635A2" w:rsidRDefault="002635A2" w:rsidP="002635A2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2635A2" w14:paraId="49009D52" w14:textId="77777777" w:rsidTr="002635A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1624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268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BB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13" w14:textId="77777777" w:rsidR="002635A2" w:rsidRDefault="002635A2" w:rsidP="002635A2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соответствующим показателям в регистрах синтетического и аналитического учета;</w:t>
            </w:r>
          </w:p>
          <w:p w14:paraId="45E657B6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14:paraId="30BFCBF7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2635A2" w14:paraId="4AC2740C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1D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8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C7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995" w14:textId="77777777" w:rsidR="002635A2" w:rsidRDefault="002635A2" w:rsidP="002635A2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отнесения объектов ОС к соответствующим категориям;</w:t>
            </w:r>
          </w:p>
          <w:p w14:paraId="3722BD3C" w14:textId="77777777" w:rsidR="002635A2" w:rsidRDefault="002635A2" w:rsidP="002635A2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2635A2" w14:paraId="2BCD8CB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D49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663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B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средств в бухгалтерском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92C8" w14:textId="77777777" w:rsidR="002635A2" w:rsidRDefault="002635A2" w:rsidP="002635A2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14:paraId="3892D7A0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14:paraId="7466EE36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2635A2" w14:paraId="5EF1F1DD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64E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BC65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DA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6B0" w14:textId="77777777" w:rsidR="002635A2" w:rsidRDefault="002635A2" w:rsidP="002635A2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14:paraId="578F6CB1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14:paraId="3449A954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14:paraId="08F1CBFE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14:paraId="3F2B85E6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использования типовых форм по учету ОС;</w:t>
            </w:r>
          </w:p>
          <w:p w14:paraId="03BC8BFF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14:paraId="73535507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уплаты налогов по реализованным ОС.</w:t>
            </w:r>
          </w:p>
        </w:tc>
      </w:tr>
      <w:tr w:rsidR="002635A2" w14:paraId="28A75C8B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A319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BA91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274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3D55" w14:textId="77777777" w:rsidR="002635A2" w:rsidRDefault="002635A2" w:rsidP="002635A2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существующим показателям в регистрах синтетического и аналитического учета;</w:t>
            </w:r>
          </w:p>
          <w:p w14:paraId="236BD9B8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14:paraId="7B8C3AC9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источников поступления НМД;</w:t>
            </w:r>
          </w:p>
          <w:p w14:paraId="4DB83425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приобретенным НМД;</w:t>
            </w:r>
          </w:p>
          <w:p w14:paraId="2EB5447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сумы НДС при приобретении объектов НМД;</w:t>
            </w:r>
          </w:p>
          <w:p w14:paraId="7B1129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14:paraId="5C62C567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14:paraId="543BDD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14:paraId="179E22B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2635A2" w14:paraId="396CFD6E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69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049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6A8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7E8F" w14:textId="77777777" w:rsidR="002635A2" w:rsidRDefault="002635A2" w:rsidP="002635A2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14:paraId="12871DE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14:paraId="6492D43F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14:paraId="6FE570F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14:paraId="502BAC24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14:paraId="3677B706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14:paraId="29B521C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</w:t>
            </w:r>
            <w:proofErr w:type="spellStart"/>
            <w:r>
              <w:rPr>
                <w:sz w:val="20"/>
                <w:szCs w:val="20"/>
              </w:rPr>
              <w:t>неотфактурованных</w:t>
            </w:r>
            <w:proofErr w:type="spellEnd"/>
            <w:r>
              <w:rPr>
                <w:sz w:val="20"/>
                <w:szCs w:val="20"/>
              </w:rPr>
              <w:t xml:space="preserve"> поставок и материальных ценностей, находящихся в пути; </w:t>
            </w:r>
          </w:p>
          <w:p w14:paraId="24DD4C13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НДС в платежных и первичных документах при приобретении и реализации материалов;</w:t>
            </w:r>
          </w:p>
          <w:p w14:paraId="58BC2FA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14:paraId="467CB65E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 ТМЦ, платежных, товарных документов и отраженных в регистрах аналитического и синтетического учета</w:t>
            </w:r>
          </w:p>
        </w:tc>
      </w:tr>
      <w:tr w:rsidR="002635A2" w14:paraId="025E13D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312A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E7AF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ECB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8B4" w14:textId="77777777" w:rsidR="002635A2" w:rsidRDefault="002635A2" w:rsidP="002635A2">
            <w:pPr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14:paraId="5C45F1E7" w14:textId="77777777" w:rsidR="002635A2" w:rsidRDefault="002635A2" w:rsidP="002635A2">
            <w:pPr>
              <w:numPr>
                <w:ilvl w:val="0"/>
                <w:numId w:val="1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2635A2" w14:paraId="195D9CB9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E27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A73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33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06B" w14:textId="77777777" w:rsidR="002635A2" w:rsidRDefault="002635A2" w:rsidP="002635A2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14:paraId="1CC2C321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14:paraId="76C47CB0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14:paraId="6AF05283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документальной обоснованности использования подотчетных сумм;</w:t>
            </w:r>
          </w:p>
          <w:p w14:paraId="209A5F0E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14:paraId="5D3D727A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2635A2" w14:paraId="4928024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15F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47E6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D37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7B8" w14:textId="77777777" w:rsidR="002635A2" w:rsidRDefault="002635A2" w:rsidP="002635A2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организации документального оформления учета кадров, рабочего времени, наличие и анализ документов, определяющих оплату труда;</w:t>
            </w:r>
          </w:p>
          <w:p w14:paraId="390A954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 положения о премировании и т.п.;</w:t>
            </w:r>
          </w:p>
          <w:p w14:paraId="660DEA6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14:paraId="3EE59BC6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14:paraId="0995E38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обоснованности включения расходов на зарплату в расходы на содержание аппарата;</w:t>
            </w:r>
          </w:p>
          <w:p w14:paraId="5646A1C3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14:paraId="6EB8890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учета совокупного дохода для целей налогообложения;</w:t>
            </w:r>
          </w:p>
          <w:p w14:paraId="386D0365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2635A2" w14:paraId="542B633F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7D3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7CE" w14:textId="77777777" w:rsidR="002635A2" w:rsidRPr="008235BC" w:rsidRDefault="002635A2" w:rsidP="002C674B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Правильность расчетов по </w:t>
            </w:r>
            <w:r w:rsidR="002C674B" w:rsidRPr="008235BC">
              <w:rPr>
                <w:sz w:val="20"/>
                <w:szCs w:val="20"/>
              </w:rPr>
              <w:t>отчислениям во внебюджетные фонды РФ</w:t>
            </w:r>
            <w:r w:rsidRPr="008235BC">
              <w:rPr>
                <w:sz w:val="20"/>
                <w:szCs w:val="20"/>
              </w:rPr>
              <w:t>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E9F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9DB" w14:textId="77777777" w:rsidR="002635A2" w:rsidRPr="008235BC" w:rsidRDefault="002635A2" w:rsidP="002635A2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14:paraId="485DCD6E" w14:textId="77777777" w:rsidR="002635A2" w:rsidRPr="008235BC" w:rsidRDefault="002635A2" w:rsidP="002635A2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Проверка правильности определения налоговых баз по налогам: </w:t>
            </w:r>
            <w:r w:rsidR="00630432" w:rsidRPr="008235BC">
              <w:rPr>
                <w:sz w:val="20"/>
                <w:szCs w:val="20"/>
              </w:rPr>
              <w:t>отчисления во внебюджетные фонды</w:t>
            </w:r>
            <w:r w:rsidRPr="008235BC">
              <w:rPr>
                <w:sz w:val="20"/>
                <w:szCs w:val="20"/>
              </w:rPr>
              <w:t>; налог на доходы физических лиц.</w:t>
            </w:r>
          </w:p>
          <w:p w14:paraId="519ECD00" w14:textId="77777777" w:rsidR="002635A2" w:rsidRPr="008235BC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</w:tr>
      <w:tr w:rsidR="002635A2" w14:paraId="007F0483" w14:textId="77777777" w:rsidTr="002635A2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5775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E8BD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6E36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AF09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1.Проверка правильности формирования нераспределенной  прибыли;</w:t>
            </w:r>
          </w:p>
          <w:p w14:paraId="6EEAC68F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Проверка правильности отнесения нераспределенной прибыли на счета целевого финансирования;</w:t>
            </w:r>
          </w:p>
          <w:p w14:paraId="3FD03C8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2AF0C7E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 </w:t>
            </w:r>
          </w:p>
        </w:tc>
      </w:tr>
      <w:tr w:rsidR="002635A2" w14:paraId="79A03D6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B4B0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8606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14:paraId="2C7E8177" w14:textId="77777777" w:rsidR="00AF3908" w:rsidRPr="008235BC" w:rsidRDefault="00AF3908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75F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665D" w14:textId="77777777" w:rsidR="002635A2" w:rsidRPr="008235BC" w:rsidRDefault="002635A2" w:rsidP="002635A2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    Ознакомление с содержанием документов;</w:t>
            </w:r>
          </w:p>
          <w:p w14:paraId="33B6CB43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14:paraId="06A09C24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14:paraId="5A92B98A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14:paraId="49E4C045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14:paraId="67B0E870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6.     Проверить правильность оценки статей отчетности;</w:t>
            </w:r>
          </w:p>
          <w:p w14:paraId="08D1F492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7. Проверить правильность формирования сводной (консолидированной отчетности (при наличии таковой).</w:t>
            </w:r>
          </w:p>
        </w:tc>
      </w:tr>
      <w:tr w:rsidR="002635A2" w14:paraId="0DE04E6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C939" w14:textId="77777777" w:rsidR="002635A2" w:rsidRDefault="002635A2" w:rsidP="006759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7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437B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всех заключенных 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33A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A757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14:paraId="732C8467" w14:textId="77777777" w:rsidR="002635A2" w:rsidRPr="008235BC" w:rsidRDefault="002635A2" w:rsidP="002635A2">
            <w:pPr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675973" w14:paraId="137BEA11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2108" w14:textId="77777777"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8A7" w14:textId="77777777" w:rsidR="00675973" w:rsidRPr="008235BC" w:rsidRDefault="00675973" w:rsidP="006541E6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14:paraId="5413BC79" w14:textId="77777777" w:rsidR="000B09D2" w:rsidRPr="008235BC" w:rsidRDefault="00FB3E8B" w:rsidP="006541E6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(</w:t>
            </w:r>
            <w:r w:rsidR="000B09D2" w:rsidRPr="008235BC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8235BC">
              <w:rPr>
                <w:rFonts w:cs="Times New Roman"/>
                <w:sz w:val="20"/>
                <w:szCs w:val="20"/>
              </w:rPr>
              <w:t>Минэкономразвития России от 28.11.2016 №</w:t>
            </w:r>
            <w:r w:rsidR="000B09D2" w:rsidRPr="008235BC">
              <w:rPr>
                <w:rFonts w:cs="Times New Roman"/>
                <w:sz w:val="20"/>
                <w:szCs w:val="20"/>
              </w:rPr>
              <w:t>763</w:t>
            </w:r>
            <w:r w:rsidRPr="008235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6E6" w14:textId="77777777" w:rsidR="00675973" w:rsidRPr="008235BC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B055" w14:textId="77777777" w:rsidR="00675973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размещению гарантийного капитала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237915C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поручительств, в т.ч. общего операционного лимита, лимита на кредитные организации, продуктовые </w:t>
            </w:r>
            <w:proofErr w:type="spellStart"/>
            <w:r w:rsidRPr="008235BC">
              <w:rPr>
                <w:rFonts w:cs="Times New Roman"/>
                <w:sz w:val="20"/>
                <w:szCs w:val="20"/>
              </w:rPr>
              <w:t>подлимиты</w:t>
            </w:r>
            <w:proofErr w:type="spellEnd"/>
            <w:r w:rsidRPr="008235BC">
              <w:rPr>
                <w:rFonts w:cs="Times New Roman"/>
                <w:sz w:val="20"/>
                <w:szCs w:val="20"/>
              </w:rPr>
              <w:t xml:space="preserve"> в рамках лимитов на кредитные организации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18D04027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выданных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0839E7D2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комиссий полученных Фондом по операциям предоставления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07F19FD" w14:textId="77777777" w:rsidR="00795577" w:rsidRPr="008235BC" w:rsidRDefault="00795577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</w:t>
            </w:r>
            <w:r w:rsidR="00FB3E8B" w:rsidRPr="008235BC">
              <w:rPr>
                <w:rFonts w:cs="Times New Roman"/>
                <w:sz w:val="20"/>
                <w:szCs w:val="20"/>
              </w:rPr>
              <w:t xml:space="preserve"> в виде процентов от  размещения гарантийного капитала Фонда;</w:t>
            </w:r>
          </w:p>
          <w:p w14:paraId="1714C951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</w:t>
            </w:r>
            <w:r w:rsidR="003D4FE4" w:rsidRPr="008235B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D6369" w14:paraId="1965603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4626" w14:textId="77777777" w:rsidR="009D6369" w:rsidRPr="009D6369" w:rsidRDefault="009D6369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9D6369">
              <w:rPr>
                <w:color w:val="002060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ED95" w14:textId="77777777" w:rsidR="009D6369" w:rsidRPr="008235BC" w:rsidRDefault="009D6369" w:rsidP="003D734D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Проверка правильности учета Фонда в рамках осуществляемых функций региональной </w:t>
            </w:r>
            <w:r w:rsidRPr="008235BC">
              <w:rPr>
                <w:rFonts w:cs="Times New Roman"/>
                <w:sz w:val="20"/>
                <w:szCs w:val="20"/>
              </w:rPr>
              <w:lastRenderedPageBreak/>
              <w:t>гарантийной организации</w:t>
            </w:r>
          </w:p>
          <w:p w14:paraId="7E21356E" w14:textId="77777777" w:rsidR="009D6369" w:rsidRPr="008235BC" w:rsidRDefault="009D6369" w:rsidP="009D6369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(Приказ Минэкономразвития России от 28.11.2016 №67)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C807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932D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привлечению средств федерального бюджета и средств регионального бюджета;</w:t>
            </w:r>
          </w:p>
          <w:p w14:paraId="66EC0EFF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денежных средств в рамках утвержденной сметы Центра поддержки предпринимательства (с учетом вносимых в течение финансового года изменений), в т.ч. </w:t>
            </w:r>
            <w:r w:rsidRPr="008235BC">
              <w:rPr>
                <w:rFonts w:cs="Times New Roman"/>
                <w:sz w:val="20"/>
                <w:szCs w:val="20"/>
              </w:rPr>
              <w:lastRenderedPageBreak/>
              <w:t>общего операционного лимита, лимита по статьям затрат распределённых за счет финансирования регионального бюджета, лимита по статьям затрат распределённых за счет финансирования федерального бюджета;</w:t>
            </w:r>
            <w:proofErr w:type="gramEnd"/>
          </w:p>
          <w:p w14:paraId="09082AFA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</w:t>
            </w:r>
            <w:bookmarkStart w:id="0" w:name="_GoBack"/>
            <w:bookmarkEnd w:id="0"/>
            <w:r w:rsidRPr="008235BC">
              <w:rPr>
                <w:rFonts w:cs="Times New Roman"/>
                <w:sz w:val="20"/>
                <w:szCs w:val="20"/>
              </w:rPr>
              <w:t>ьных показателей финансово-хозяйственной деятельности Фонда в качестве центра поддержки предпринимательства для целей соблюдения требований устанавливаемых Приказом Минэкономразвития России от 28.11.2016 №67.</w:t>
            </w:r>
          </w:p>
        </w:tc>
      </w:tr>
      <w:tr w:rsidR="009D6369" w14:paraId="58D1C30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A61A" w14:textId="77777777" w:rsidR="009D6369" w:rsidRDefault="009D6369" w:rsidP="003D73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1827" w14:textId="77777777" w:rsidR="009D6369" w:rsidRPr="008235BC" w:rsidRDefault="009D6369" w:rsidP="003D734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235BC">
              <w:rPr>
                <w:rStyle w:val="91"/>
                <w:b w:val="0"/>
                <w:color w:val="auto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870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DA56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3B20F36D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7A2782CC" w14:textId="77777777" w:rsidR="009D6369" w:rsidRPr="008235BC" w:rsidRDefault="009D6369" w:rsidP="003D734D">
            <w:pPr>
              <w:pStyle w:val="a8"/>
              <w:snapToGrid w:val="0"/>
              <w:ind w:left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8235BC">
              <w:rPr>
                <w:rStyle w:val="91"/>
                <w:rFonts w:cs="Times New Roman"/>
                <w:b w:val="0"/>
                <w:color w:val="auto"/>
                <w:sz w:val="20"/>
                <w:szCs w:val="20"/>
              </w:rPr>
              <w:t xml:space="preserve">Проверка своевременности признания в качестве доходов средств целевого финансирования при не целевом их использовании. </w:t>
            </w:r>
          </w:p>
        </w:tc>
      </w:tr>
    </w:tbl>
    <w:p w14:paraId="02337ADA" w14:textId="77777777" w:rsidR="002635A2" w:rsidRDefault="002635A2" w:rsidP="002635A2">
      <w:pPr>
        <w:ind w:firstLine="709"/>
        <w:jc w:val="both"/>
      </w:pPr>
    </w:p>
    <w:p w14:paraId="0BFC9D1E" w14:textId="77777777" w:rsidR="002635A2" w:rsidRDefault="002635A2" w:rsidP="002635A2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 Результаты оказания услуг</w:t>
      </w:r>
    </w:p>
    <w:p w14:paraId="752449E9" w14:textId="77777777" w:rsidR="002635A2" w:rsidRDefault="002635A2" w:rsidP="002635A2">
      <w:pPr>
        <w:rPr>
          <w:sz w:val="20"/>
          <w:szCs w:val="20"/>
        </w:rPr>
      </w:pPr>
    </w:p>
    <w:p w14:paraId="0C346174" w14:textId="77777777" w:rsidR="002635A2" w:rsidRDefault="002635A2" w:rsidP="002635A2">
      <w:pPr>
        <w:pStyle w:val="a7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</w:p>
    <w:p w14:paraId="508B6666" w14:textId="77777777" w:rsidR="002635A2" w:rsidRDefault="002635A2" w:rsidP="002635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14:paraId="0EE426EE" w14:textId="77777777" w:rsidR="00CF2675" w:rsidRDefault="00CF2675" w:rsidP="002635A2"/>
    <w:sectPr w:rsidR="00CF2675" w:rsidSect="00263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DFE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multilevel"/>
    <w:tmpl w:val="83DE7A8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30F7790"/>
    <w:multiLevelType w:val="hybridMultilevel"/>
    <w:tmpl w:val="375A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">
    <w15:presenceInfo w15:providerId="None" w15:userId="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0"/>
    <w:rsid w:val="0009406A"/>
    <w:rsid w:val="000B09D2"/>
    <w:rsid w:val="0021552E"/>
    <w:rsid w:val="002635A2"/>
    <w:rsid w:val="002C674B"/>
    <w:rsid w:val="003D4FE4"/>
    <w:rsid w:val="00453684"/>
    <w:rsid w:val="00506CF0"/>
    <w:rsid w:val="00617650"/>
    <w:rsid w:val="00630432"/>
    <w:rsid w:val="00675973"/>
    <w:rsid w:val="00795577"/>
    <w:rsid w:val="008235BC"/>
    <w:rsid w:val="00942922"/>
    <w:rsid w:val="009D6369"/>
    <w:rsid w:val="00AF3908"/>
    <w:rsid w:val="00AF41CB"/>
    <w:rsid w:val="00C16993"/>
    <w:rsid w:val="00C56F93"/>
    <w:rsid w:val="00C76807"/>
    <w:rsid w:val="00CF2675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Название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768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8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807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807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8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80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Название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768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8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807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807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8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gurina-mn</cp:lastModifiedBy>
  <cp:revision>5</cp:revision>
  <dcterms:created xsi:type="dcterms:W3CDTF">2019-01-07T12:44:00Z</dcterms:created>
  <dcterms:modified xsi:type="dcterms:W3CDTF">2019-01-10T23:33:00Z</dcterms:modified>
</cp:coreProperties>
</file>